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94C40" w14:textId="3C2909DD" w:rsidR="00377093" w:rsidRDefault="00377093" w:rsidP="00377093">
      <w:pPr>
        <w:rPr>
          <w:b/>
          <w:bCs/>
          <w:sz w:val="40"/>
          <w:szCs w:val="40"/>
          <w:lang w:val="en-US"/>
        </w:rPr>
      </w:pPr>
    </w:p>
    <w:p w14:paraId="74E72FB7" w14:textId="0D1A1890" w:rsidR="00B6099D" w:rsidRPr="00B6099D" w:rsidRDefault="00377093" w:rsidP="00B6099D">
      <w:pPr>
        <w:jc w:val="center"/>
        <w:rPr>
          <w:b/>
          <w:bCs/>
          <w:sz w:val="40"/>
          <w:szCs w:val="40"/>
          <w:lang w:val="en-US"/>
        </w:rPr>
      </w:pPr>
      <w:r>
        <w:rPr>
          <w:b/>
          <w:bCs/>
          <w:sz w:val="40"/>
          <w:szCs w:val="40"/>
          <w:lang w:val="en-US"/>
        </w:rPr>
        <w:t xml:space="preserve">EPG is Recognized for </w:t>
      </w:r>
      <w:proofErr w:type="spellStart"/>
      <w:r>
        <w:rPr>
          <w:b/>
          <w:bCs/>
          <w:sz w:val="40"/>
          <w:szCs w:val="40"/>
          <w:lang w:val="en-US"/>
        </w:rPr>
        <w:t>Greenplan</w:t>
      </w:r>
      <w:proofErr w:type="spellEnd"/>
      <w:r w:rsidR="00B6099D">
        <w:rPr>
          <w:b/>
          <w:bCs/>
          <w:sz w:val="40"/>
          <w:szCs w:val="40"/>
          <w:lang w:val="en-US"/>
        </w:rPr>
        <w:t xml:space="preserve"> in the </w:t>
      </w:r>
      <w:r w:rsidR="00B6099D" w:rsidRPr="00B6099D">
        <w:rPr>
          <w:b/>
          <w:bCs/>
          <w:sz w:val="40"/>
          <w:szCs w:val="40"/>
          <w:lang w:val="en-US"/>
        </w:rPr>
        <w:t>2025</w:t>
      </w:r>
      <w:r w:rsidR="00B6099D">
        <w:rPr>
          <w:b/>
          <w:bCs/>
          <w:sz w:val="40"/>
          <w:szCs w:val="40"/>
          <w:lang w:val="en-US"/>
        </w:rPr>
        <w:t xml:space="preserve"> </w:t>
      </w:r>
      <w:r w:rsidR="00B6099D" w:rsidRPr="00B6099D">
        <w:rPr>
          <w:b/>
          <w:bCs/>
          <w:sz w:val="40"/>
          <w:szCs w:val="40"/>
          <w:lang w:val="en-US"/>
        </w:rPr>
        <w:t>Gartner Market Guide VRS Report</w:t>
      </w:r>
    </w:p>
    <w:p w14:paraId="75E55AD8" w14:textId="1938C19E" w:rsidR="00377093" w:rsidRPr="00377093" w:rsidRDefault="00377093" w:rsidP="00377093">
      <w:pPr>
        <w:pBdr>
          <w:bottom w:val="single" w:sz="12" w:space="1" w:color="000000"/>
        </w:pBdr>
        <w:spacing w:line="384" w:lineRule="auto"/>
        <w:jc w:val="both"/>
        <w:rPr>
          <w:lang w:val="en-US"/>
        </w:rPr>
      </w:pPr>
    </w:p>
    <w:p w14:paraId="18F668AC" w14:textId="71606B7B" w:rsidR="00377093" w:rsidRPr="00377093" w:rsidRDefault="00377093" w:rsidP="00377093">
      <w:pPr>
        <w:pBdr>
          <w:bottom w:val="single" w:sz="12" w:space="1" w:color="000000"/>
        </w:pBdr>
        <w:spacing w:line="384" w:lineRule="auto"/>
        <w:jc w:val="both"/>
        <w:rPr>
          <w:lang w:val="en-US"/>
        </w:rPr>
      </w:pPr>
      <w:r w:rsidRPr="00377093">
        <w:rPr>
          <w:b/>
          <w:bCs/>
          <w:lang w:val="en-US"/>
        </w:rPr>
        <w:t>EPG has been named a Representative Vendor in the 202</w:t>
      </w:r>
      <w:r w:rsidR="0005045A">
        <w:rPr>
          <w:b/>
          <w:bCs/>
          <w:lang w:val="en-US"/>
        </w:rPr>
        <w:t>5</w:t>
      </w:r>
      <w:r w:rsidRPr="00377093">
        <w:rPr>
          <w:b/>
          <w:bCs/>
          <w:lang w:val="en-US"/>
        </w:rPr>
        <w:t xml:space="preserve"> Gartner</w:t>
      </w:r>
      <w:r w:rsidRPr="00377093">
        <w:rPr>
          <w:b/>
          <w:bCs/>
          <w:vertAlign w:val="superscript"/>
          <w:lang w:val="en-US"/>
        </w:rPr>
        <w:t xml:space="preserve">® </w:t>
      </w:r>
      <w:r w:rsidRPr="00377093">
        <w:rPr>
          <w:b/>
          <w:bCs/>
          <w:lang w:val="en-US"/>
        </w:rPr>
        <w:t>Market Guide for Vehicle Routing and Scheduling</w:t>
      </w:r>
      <w:r w:rsidR="006E069A">
        <w:rPr>
          <w:b/>
          <w:bCs/>
          <w:lang w:val="en-US"/>
        </w:rPr>
        <w:t xml:space="preserve"> available </w:t>
      </w:r>
      <w:hyperlink r:id="rId10" w:history="1">
        <w:r w:rsidR="006E069A" w:rsidRPr="008B19E3">
          <w:rPr>
            <w:rStyle w:val="Hyperlink"/>
            <w:b/>
            <w:bCs/>
            <w:lang w:val="en-US"/>
          </w:rPr>
          <w:t>here</w:t>
        </w:r>
      </w:hyperlink>
      <w:r w:rsidRPr="00377093">
        <w:rPr>
          <w:b/>
          <w:bCs/>
          <w:lang w:val="en-US"/>
        </w:rPr>
        <w:t>.</w:t>
      </w:r>
      <w:r w:rsidRPr="00377093">
        <w:rPr>
          <w:lang w:val="en-US"/>
        </w:rPr>
        <w:t> </w:t>
      </w:r>
      <w:proofErr w:type="spellStart"/>
      <w:r w:rsidRPr="00377093">
        <w:rPr>
          <w:b/>
          <w:bCs/>
          <w:lang w:val="en-US"/>
        </w:rPr>
        <w:t>Greenplan</w:t>
      </w:r>
      <w:proofErr w:type="spellEnd"/>
      <w:r w:rsidRPr="00377093">
        <w:rPr>
          <w:b/>
          <w:bCs/>
          <w:lang w:val="en-US"/>
        </w:rPr>
        <w:t xml:space="preserve"> is EPG’s </w:t>
      </w:r>
      <w:r w:rsidR="00BA1462">
        <w:rPr>
          <w:b/>
          <w:bCs/>
          <w:lang w:val="en-US"/>
        </w:rPr>
        <w:t>intelligent</w:t>
      </w:r>
      <w:r w:rsidRPr="00377093">
        <w:rPr>
          <w:b/>
          <w:bCs/>
          <w:lang w:val="en-US"/>
        </w:rPr>
        <w:t xml:space="preserve"> Vehicle Routing and Scheduling package (VRS). </w:t>
      </w:r>
      <w:proofErr w:type="spellStart"/>
      <w:r w:rsidRPr="00377093">
        <w:rPr>
          <w:b/>
          <w:bCs/>
          <w:lang w:val="en-US"/>
        </w:rPr>
        <w:t>Greenplan’s</w:t>
      </w:r>
      <w:proofErr w:type="spellEnd"/>
      <w:r w:rsidRPr="00377093">
        <w:rPr>
          <w:b/>
          <w:bCs/>
          <w:lang w:val="en-US"/>
        </w:rPr>
        <w:t xml:space="preserve"> innovations in VRS include a best-in-class mathematics-based algorithm, fully dynamic routes including unique overlapping district options</w:t>
      </w:r>
      <w:r w:rsidR="00EF5364">
        <w:rPr>
          <w:b/>
          <w:bCs/>
          <w:lang w:val="en-US"/>
        </w:rPr>
        <w:t>,</w:t>
      </w:r>
      <w:r w:rsidRPr="00377093">
        <w:rPr>
          <w:b/>
          <w:bCs/>
          <w:lang w:val="en-US"/>
        </w:rPr>
        <w:t xml:space="preserve"> and realistic predicted speed profiles.</w:t>
      </w:r>
      <w:r w:rsidRPr="00377093">
        <w:rPr>
          <w:lang w:val="en-US"/>
        </w:rPr>
        <w:t> </w:t>
      </w:r>
    </w:p>
    <w:p w14:paraId="401A3BE4" w14:textId="77777777" w:rsidR="00377093" w:rsidRPr="00377093" w:rsidRDefault="00377093" w:rsidP="00377093">
      <w:pPr>
        <w:pBdr>
          <w:bottom w:val="single" w:sz="12" w:space="1" w:color="000000"/>
        </w:pBdr>
        <w:spacing w:line="384" w:lineRule="auto"/>
        <w:jc w:val="both"/>
        <w:rPr>
          <w:lang w:val="en-US"/>
        </w:rPr>
      </w:pPr>
      <w:r w:rsidRPr="00377093">
        <w:rPr>
          <w:lang w:val="en-US"/>
        </w:rPr>
        <w:t> </w:t>
      </w:r>
    </w:p>
    <w:p w14:paraId="1565CD1D" w14:textId="77777777" w:rsidR="00035269" w:rsidRDefault="00377093" w:rsidP="00377093">
      <w:pPr>
        <w:pBdr>
          <w:bottom w:val="single" w:sz="12" w:space="1" w:color="000000"/>
        </w:pBdr>
        <w:spacing w:line="384" w:lineRule="auto"/>
        <w:jc w:val="both"/>
        <w:rPr>
          <w:lang w:val="en-US"/>
        </w:rPr>
      </w:pPr>
      <w:r w:rsidRPr="00377093">
        <w:rPr>
          <w:lang w:val="en-US"/>
        </w:rPr>
        <w:t xml:space="preserve">According to the </w:t>
      </w:r>
      <w:r w:rsidR="00035269">
        <w:rPr>
          <w:lang w:val="en-US"/>
        </w:rPr>
        <w:t xml:space="preserve">2025 </w:t>
      </w:r>
      <w:r w:rsidRPr="00377093">
        <w:rPr>
          <w:lang w:val="en-US"/>
        </w:rPr>
        <w:t xml:space="preserve">Gartner </w:t>
      </w:r>
      <w:r w:rsidR="00035269">
        <w:rPr>
          <w:lang w:val="en-US"/>
        </w:rPr>
        <w:t xml:space="preserve">VRS </w:t>
      </w:r>
      <w:r w:rsidRPr="00377093">
        <w:rPr>
          <w:lang w:val="en-US"/>
        </w:rPr>
        <w:t>Market Guide, “</w:t>
      </w:r>
      <w:r w:rsidR="00035269">
        <w:rPr>
          <w:lang w:val="en-US"/>
        </w:rPr>
        <w:t>t</w:t>
      </w:r>
      <w:r w:rsidR="00B46ABE" w:rsidRPr="00E853EE">
        <w:rPr>
          <w:lang w:val="en-US"/>
        </w:rPr>
        <w:t>he market for vehicle routing and scheduling is evolving, driven by requirements in cost</w:t>
      </w:r>
      <w:r w:rsidR="00B46ABE">
        <w:rPr>
          <w:lang w:val="en-US"/>
        </w:rPr>
        <w:t xml:space="preserve"> </w:t>
      </w:r>
      <w:r w:rsidR="00B46ABE" w:rsidRPr="00E853EE">
        <w:rPr>
          <w:lang w:val="en-US"/>
        </w:rPr>
        <w:t>optimization, customer experience, fleet sizing, equipment type optimization, mode</w:t>
      </w:r>
      <w:r w:rsidR="00B46ABE">
        <w:rPr>
          <w:lang w:val="en-US"/>
        </w:rPr>
        <w:t xml:space="preserve"> </w:t>
      </w:r>
      <w:r w:rsidR="00B46ABE" w:rsidRPr="00E853EE">
        <w:rPr>
          <w:lang w:val="en-US"/>
        </w:rPr>
        <w:t>optimization and sustainability.</w:t>
      </w:r>
      <w:r w:rsidR="00035269">
        <w:rPr>
          <w:lang w:val="en-US"/>
        </w:rPr>
        <w:t xml:space="preserve">” </w:t>
      </w:r>
    </w:p>
    <w:p w14:paraId="64022B15" w14:textId="77777777" w:rsidR="00035269" w:rsidRDefault="00035269" w:rsidP="00377093">
      <w:pPr>
        <w:pBdr>
          <w:bottom w:val="single" w:sz="12" w:space="1" w:color="000000"/>
        </w:pBdr>
        <w:spacing w:line="384" w:lineRule="auto"/>
        <w:jc w:val="both"/>
        <w:rPr>
          <w:lang w:val="en-US"/>
        </w:rPr>
      </w:pPr>
    </w:p>
    <w:p w14:paraId="279B88A8" w14:textId="69EAB570" w:rsidR="0005232C" w:rsidRPr="0005232C" w:rsidRDefault="00035269" w:rsidP="0005232C">
      <w:pPr>
        <w:pBdr>
          <w:bottom w:val="single" w:sz="12" w:space="1" w:color="000000"/>
        </w:pBdr>
        <w:spacing w:line="384" w:lineRule="auto"/>
        <w:jc w:val="both"/>
        <w:rPr>
          <w:lang w:val="en-US"/>
        </w:rPr>
      </w:pPr>
      <w:r>
        <w:rPr>
          <w:lang w:val="en-US"/>
        </w:rPr>
        <w:t>The industry expert</w:t>
      </w:r>
      <w:r w:rsidR="00100F11">
        <w:rPr>
          <w:lang w:val="en-US"/>
        </w:rPr>
        <w:t xml:space="preserve"> </w:t>
      </w:r>
      <w:r w:rsidR="001B7B71">
        <w:rPr>
          <w:lang w:val="en-US"/>
        </w:rPr>
        <w:t>report</w:t>
      </w:r>
      <w:r>
        <w:rPr>
          <w:lang w:val="en-US"/>
        </w:rPr>
        <w:t>s</w:t>
      </w:r>
      <w:r w:rsidR="00100F11">
        <w:rPr>
          <w:lang w:val="en-US"/>
        </w:rPr>
        <w:t>, “t</w:t>
      </w:r>
      <w:r w:rsidR="00100F11" w:rsidRPr="00100F11">
        <w:rPr>
          <w:lang w:val="en-US"/>
        </w:rPr>
        <w:t>here is an increasing need for efficient vehicle routing and scheduling (VRS) to</w:t>
      </w:r>
      <w:r w:rsidR="00100F11">
        <w:rPr>
          <w:lang w:val="en-US"/>
        </w:rPr>
        <w:t xml:space="preserve"> </w:t>
      </w:r>
      <w:r w:rsidR="00100F11" w:rsidRPr="00100F11">
        <w:rPr>
          <w:lang w:val="en-US"/>
        </w:rPr>
        <w:t>streamline operations to improve service and reduce costs. This is due to growth</w:t>
      </w:r>
      <w:r w:rsidR="00100F11">
        <w:rPr>
          <w:lang w:val="en-US"/>
        </w:rPr>
        <w:t xml:space="preserve"> </w:t>
      </w:r>
      <w:r w:rsidR="00100F11" w:rsidRPr="00100F11">
        <w:rPr>
          <w:lang w:val="en-US"/>
        </w:rPr>
        <w:t>from e-commerce, grocery and other forms of consumer delivery</w:t>
      </w:r>
      <w:r w:rsidR="00230928">
        <w:rPr>
          <w:lang w:val="en-US"/>
        </w:rPr>
        <w:t>.</w:t>
      </w:r>
      <w:r w:rsidR="00100F11">
        <w:rPr>
          <w:lang w:val="en-US"/>
        </w:rPr>
        <w:t xml:space="preserve">” </w:t>
      </w:r>
      <w:r w:rsidR="00140374">
        <w:rPr>
          <w:lang w:val="en-US"/>
        </w:rPr>
        <w:t xml:space="preserve">Other </w:t>
      </w:r>
      <w:r w:rsidR="0005232C">
        <w:rPr>
          <w:lang w:val="en-US"/>
        </w:rPr>
        <w:t xml:space="preserve">key findings </w:t>
      </w:r>
      <w:r w:rsidR="00140374">
        <w:rPr>
          <w:lang w:val="en-US"/>
        </w:rPr>
        <w:t xml:space="preserve">in the Gartner report </w:t>
      </w:r>
      <w:r w:rsidR="0005232C">
        <w:rPr>
          <w:lang w:val="en-US"/>
        </w:rPr>
        <w:t>state that “t</w:t>
      </w:r>
      <w:r w:rsidR="0005232C" w:rsidRPr="0005232C">
        <w:rPr>
          <w:lang w:val="en-US"/>
        </w:rPr>
        <w:t>oday’s performance expectations demand the ability to optimize for unexpected</w:t>
      </w:r>
      <w:r w:rsidR="00140374">
        <w:rPr>
          <w:lang w:val="en-US"/>
        </w:rPr>
        <w:t xml:space="preserve"> </w:t>
      </w:r>
      <w:r w:rsidR="0005232C" w:rsidRPr="0005232C">
        <w:rPr>
          <w:lang w:val="en-US"/>
        </w:rPr>
        <w:t>changes to delivery schedules to ensure smooth operations and enhance the</w:t>
      </w:r>
    </w:p>
    <w:p w14:paraId="269E9D18" w14:textId="3F786AD2" w:rsidR="0005232C" w:rsidRDefault="0005232C" w:rsidP="0005232C">
      <w:pPr>
        <w:pBdr>
          <w:bottom w:val="single" w:sz="12" w:space="1" w:color="000000"/>
        </w:pBdr>
        <w:spacing w:line="384" w:lineRule="auto"/>
        <w:jc w:val="both"/>
        <w:rPr>
          <w:lang w:val="en-US"/>
        </w:rPr>
      </w:pPr>
      <w:r w:rsidRPr="0005232C">
        <w:rPr>
          <w:lang w:val="en-US"/>
        </w:rPr>
        <w:t>customer experience.</w:t>
      </w:r>
      <w:r>
        <w:rPr>
          <w:lang w:val="en-US"/>
        </w:rPr>
        <w:t xml:space="preserve">” </w:t>
      </w:r>
      <w:r w:rsidR="00140374">
        <w:rPr>
          <w:lang w:val="en-US"/>
        </w:rPr>
        <w:t>In addition</w:t>
      </w:r>
      <w:r>
        <w:rPr>
          <w:lang w:val="en-US"/>
        </w:rPr>
        <w:t>, “</w:t>
      </w:r>
      <w:r w:rsidRPr="0005232C">
        <w:rPr>
          <w:lang w:val="en-US"/>
        </w:rPr>
        <w:t>The growing focus on sustainability is driving the need to find better ways to</w:t>
      </w:r>
      <w:r w:rsidR="001B7B71">
        <w:rPr>
          <w:lang w:val="en-US"/>
        </w:rPr>
        <w:t xml:space="preserve"> </w:t>
      </w:r>
      <w:r w:rsidRPr="0005232C">
        <w:rPr>
          <w:lang w:val="en-US"/>
        </w:rPr>
        <w:t>manage and reduce carbon emissions, which directly improves efficiency across</w:t>
      </w:r>
      <w:r w:rsidR="001B7B71">
        <w:rPr>
          <w:lang w:val="en-US"/>
        </w:rPr>
        <w:t xml:space="preserve"> </w:t>
      </w:r>
      <w:r w:rsidRPr="0005232C">
        <w:rPr>
          <w:lang w:val="en-US"/>
        </w:rPr>
        <w:t>deliveries.</w:t>
      </w:r>
      <w:r w:rsidR="001B7B71">
        <w:rPr>
          <w:lang w:val="en-US"/>
        </w:rPr>
        <w:t>”</w:t>
      </w:r>
    </w:p>
    <w:p w14:paraId="2D6773E1" w14:textId="565984C7" w:rsidR="00377093" w:rsidRPr="00377093" w:rsidRDefault="00377093" w:rsidP="00377093">
      <w:pPr>
        <w:pBdr>
          <w:bottom w:val="single" w:sz="12" w:space="1" w:color="000000"/>
        </w:pBdr>
        <w:spacing w:line="384" w:lineRule="auto"/>
        <w:jc w:val="both"/>
        <w:rPr>
          <w:lang w:val="en-US"/>
        </w:rPr>
      </w:pPr>
      <w:r w:rsidRPr="00377093">
        <w:rPr>
          <w:lang w:val="en-US"/>
        </w:rPr>
        <w:t> </w:t>
      </w:r>
    </w:p>
    <w:p w14:paraId="7BF32322" w14:textId="7315F1D6" w:rsidR="00E853EE" w:rsidRDefault="00377093" w:rsidP="00377093">
      <w:pPr>
        <w:pBdr>
          <w:bottom w:val="single" w:sz="12" w:space="1" w:color="000000"/>
        </w:pBdr>
        <w:spacing w:line="384" w:lineRule="auto"/>
        <w:jc w:val="both"/>
        <w:rPr>
          <w:lang w:val="en-US"/>
        </w:rPr>
      </w:pPr>
      <w:r w:rsidRPr="00377093">
        <w:rPr>
          <w:lang w:val="en-US"/>
        </w:rPr>
        <w:t>According to Gartner, “</w:t>
      </w:r>
      <w:r w:rsidR="00140374">
        <w:rPr>
          <w:lang w:val="en-US"/>
        </w:rPr>
        <w:t>a</w:t>
      </w:r>
      <w:r w:rsidRPr="00377093">
        <w:rPr>
          <w:lang w:val="en-US"/>
        </w:rPr>
        <w:t xml:space="preserve"> Market Guide defines a market and explains what clients can expect it to do in the short term. With the focus on early, more chaotic markets, a Market Guide does not rate or position vendors within the market, but rather more commonly outlines attributes of representative vendors that are providing offerings in the market to give further insight into the </w:t>
      </w:r>
      <w:r w:rsidRPr="00377093">
        <w:rPr>
          <w:lang w:val="en-US"/>
        </w:rPr>
        <w:lastRenderedPageBreak/>
        <w:t>market itself.” In the 202</w:t>
      </w:r>
      <w:r w:rsidR="00B9227F">
        <w:rPr>
          <w:lang w:val="en-US"/>
        </w:rPr>
        <w:t>5</w:t>
      </w:r>
      <w:r w:rsidRPr="00377093">
        <w:rPr>
          <w:lang w:val="en-US"/>
        </w:rPr>
        <w:t xml:space="preserve"> Market Guide for VRS, Gartner recommends supply chain leaders should</w:t>
      </w:r>
      <w:r w:rsidR="00E853EE">
        <w:rPr>
          <w:lang w:val="en-US"/>
        </w:rPr>
        <w:t xml:space="preserve"> “</w:t>
      </w:r>
      <w:r w:rsidR="00E853EE" w:rsidRPr="00E853EE">
        <w:rPr>
          <w:lang w:val="en-US"/>
        </w:rPr>
        <w:t>prioritize evaluating solutions based on their ability to enhance fleet operations</w:t>
      </w:r>
      <w:r w:rsidR="00B46ABE">
        <w:rPr>
          <w:lang w:val="en-US"/>
        </w:rPr>
        <w:t>.</w:t>
      </w:r>
      <w:r w:rsidR="004B4861">
        <w:rPr>
          <w:lang w:val="en-US"/>
        </w:rPr>
        <w:t>”</w:t>
      </w:r>
      <w:r w:rsidR="00142E2F" w:rsidRPr="00142E2F">
        <w:rPr>
          <w:vertAlign w:val="superscript"/>
          <w:lang w:val="en-US"/>
        </w:rPr>
        <w:t xml:space="preserve"> </w:t>
      </w:r>
      <w:r w:rsidR="00142E2F" w:rsidRPr="00377093">
        <w:rPr>
          <w:vertAlign w:val="superscript"/>
          <w:lang w:val="en-US"/>
        </w:rPr>
        <w:t>1</w:t>
      </w:r>
    </w:p>
    <w:p w14:paraId="4B7E1EB8" w14:textId="77777777" w:rsidR="004B4861" w:rsidRDefault="004B4861" w:rsidP="00377093">
      <w:pPr>
        <w:pBdr>
          <w:bottom w:val="single" w:sz="12" w:space="1" w:color="000000"/>
        </w:pBdr>
        <w:spacing w:line="384" w:lineRule="auto"/>
        <w:jc w:val="both"/>
        <w:rPr>
          <w:lang w:val="en-US"/>
        </w:rPr>
      </w:pPr>
    </w:p>
    <w:p w14:paraId="74D554FA" w14:textId="5A5DBB3C" w:rsidR="00377093" w:rsidRPr="00377093" w:rsidRDefault="00377093" w:rsidP="00233109">
      <w:pPr>
        <w:pBdr>
          <w:bottom w:val="single" w:sz="12" w:space="1" w:color="000000"/>
        </w:pBdr>
        <w:spacing w:line="384" w:lineRule="auto"/>
        <w:jc w:val="both"/>
        <w:rPr>
          <w:lang w:val="en-US"/>
        </w:rPr>
      </w:pPr>
      <w:r w:rsidRPr="00377093">
        <w:rPr>
          <w:lang w:val="en-US"/>
        </w:rPr>
        <w:t>Gartner also recommends that supply chain technology leaders should “</w:t>
      </w:r>
      <w:r w:rsidR="00140374">
        <w:rPr>
          <w:lang w:val="en-US"/>
        </w:rPr>
        <w:t>v</w:t>
      </w:r>
      <w:r w:rsidR="00233109" w:rsidRPr="00233109">
        <w:rPr>
          <w:lang w:val="en-US"/>
        </w:rPr>
        <w:t>alidate the benefits of extended VRS capabilities by identifying whether they</w:t>
      </w:r>
      <w:r w:rsidR="00233109">
        <w:rPr>
          <w:lang w:val="en-US"/>
        </w:rPr>
        <w:t xml:space="preserve"> </w:t>
      </w:r>
      <w:r w:rsidR="00233109" w:rsidRPr="00233109">
        <w:rPr>
          <w:lang w:val="en-US"/>
        </w:rPr>
        <w:t>warrant adoption or replacement in your business. These capabilities include mobile</w:t>
      </w:r>
      <w:r w:rsidR="00233109">
        <w:rPr>
          <w:lang w:val="en-US"/>
        </w:rPr>
        <w:t xml:space="preserve"> </w:t>
      </w:r>
      <w:r w:rsidR="00233109" w:rsidRPr="00233109">
        <w:rPr>
          <w:lang w:val="en-US"/>
        </w:rPr>
        <w:t>solutions for drivers, carbon footprint calculations, electric vehicle routing, artificial</w:t>
      </w:r>
      <w:r w:rsidR="00233109">
        <w:rPr>
          <w:lang w:val="en-US"/>
        </w:rPr>
        <w:t xml:space="preserve"> </w:t>
      </w:r>
      <w:r w:rsidR="00233109" w:rsidRPr="00233109">
        <w:rPr>
          <w:lang w:val="en-US"/>
        </w:rPr>
        <w:t>intelligence and machine learning (ML), visibility, sustainability and 3D load building.</w:t>
      </w:r>
      <w:r w:rsidR="00B46ABE">
        <w:rPr>
          <w:lang w:val="en-US"/>
        </w:rPr>
        <w:t>”</w:t>
      </w:r>
    </w:p>
    <w:p w14:paraId="3729FDA5" w14:textId="77777777" w:rsidR="00377093" w:rsidRPr="00377093" w:rsidRDefault="00377093" w:rsidP="00377093">
      <w:pPr>
        <w:pBdr>
          <w:bottom w:val="single" w:sz="12" w:space="1" w:color="000000"/>
        </w:pBdr>
        <w:spacing w:line="384" w:lineRule="auto"/>
        <w:jc w:val="both"/>
        <w:rPr>
          <w:lang w:val="en-US"/>
        </w:rPr>
      </w:pPr>
      <w:r w:rsidRPr="00377093">
        <w:rPr>
          <w:lang w:val="en-US"/>
        </w:rPr>
        <w:t> </w:t>
      </w:r>
    </w:p>
    <w:p w14:paraId="60F48279" w14:textId="44C0D03D" w:rsidR="00377093" w:rsidRDefault="00BB7AF4" w:rsidP="00377093">
      <w:pPr>
        <w:pBdr>
          <w:bottom w:val="single" w:sz="12" w:space="1" w:color="000000"/>
        </w:pBdr>
        <w:spacing w:line="384" w:lineRule="auto"/>
        <w:jc w:val="both"/>
        <w:rPr>
          <w:b/>
          <w:bCs/>
          <w:lang w:val="en-US"/>
        </w:rPr>
      </w:pPr>
      <w:r>
        <w:rPr>
          <w:b/>
          <w:bCs/>
          <w:lang w:val="en-US"/>
        </w:rPr>
        <w:t>EPG’s Route Planning and Execution S</w:t>
      </w:r>
      <w:r w:rsidR="0021731C">
        <w:rPr>
          <w:b/>
          <w:bCs/>
          <w:lang w:val="en-US"/>
        </w:rPr>
        <w:t>uite</w:t>
      </w:r>
      <w:r>
        <w:rPr>
          <w:b/>
          <w:bCs/>
          <w:lang w:val="en-US"/>
        </w:rPr>
        <w:t xml:space="preserve"> </w:t>
      </w:r>
      <w:proofErr w:type="spellStart"/>
      <w:r>
        <w:rPr>
          <w:b/>
          <w:bCs/>
          <w:lang w:val="en-US"/>
        </w:rPr>
        <w:t>Greenplan</w:t>
      </w:r>
      <w:proofErr w:type="spellEnd"/>
    </w:p>
    <w:p w14:paraId="1597C4CF" w14:textId="13C7EAE7" w:rsidR="00DE48EA" w:rsidRPr="00967C10" w:rsidRDefault="007D54B1" w:rsidP="00DE48EA">
      <w:pPr>
        <w:pBdr>
          <w:bottom w:val="single" w:sz="12" w:space="1" w:color="000000"/>
        </w:pBdr>
        <w:spacing w:line="384" w:lineRule="auto"/>
        <w:jc w:val="both"/>
        <w:rPr>
          <w:lang w:val="en-US"/>
        </w:rPr>
      </w:pPr>
      <w:bookmarkStart w:id="0" w:name="_Hlk189489862"/>
      <w:r w:rsidRPr="007D54B1">
        <w:t xml:space="preserve">Developed by scientists at the University of Bonn in collaboration with logistics experts at DHL, </w:t>
      </w:r>
      <w:proofErr w:type="spellStart"/>
      <w:r w:rsidRPr="007D54B1">
        <w:t>Greenplan’s</w:t>
      </w:r>
      <w:proofErr w:type="spellEnd"/>
      <w:r w:rsidRPr="007D54B1">
        <w:t xml:space="preserve"> routing algorithm leverages hard data on historical traffic flows, fleet capacities, and time-of-day-dependent factors to mathematically derive efficient routes for distribution. </w:t>
      </w:r>
      <w:proofErr w:type="spellStart"/>
      <w:r w:rsidR="00212FB6">
        <w:t>Greenplan</w:t>
      </w:r>
      <w:proofErr w:type="spellEnd"/>
      <w:r w:rsidR="00212FB6">
        <w:t xml:space="preserve"> </w:t>
      </w:r>
      <w:r w:rsidR="000E4170">
        <w:t xml:space="preserve">is comprised </w:t>
      </w:r>
      <w:r w:rsidR="00BB2DE6">
        <w:t xml:space="preserve">of transportation management </w:t>
      </w:r>
      <w:r w:rsidR="0021731C">
        <w:t>solution</w:t>
      </w:r>
      <w:r w:rsidR="00DE48EA">
        <w:t>s</w:t>
      </w:r>
      <w:r w:rsidR="00BB2DE6">
        <w:t xml:space="preserve"> for planning and executing routes as well as a route optimization engine</w:t>
      </w:r>
      <w:r w:rsidR="00DE48EA">
        <w:t xml:space="preserve"> and consulting services</w:t>
      </w:r>
      <w:r w:rsidR="00BB2DE6">
        <w:t>.</w:t>
      </w:r>
      <w:r w:rsidR="00DE48EA">
        <w:t xml:space="preserve"> </w:t>
      </w:r>
      <w:r w:rsidR="00DE48EA">
        <w:rPr>
          <w:lang w:val="en-US"/>
        </w:rPr>
        <w:t xml:space="preserve">To support drivers, </w:t>
      </w:r>
      <w:proofErr w:type="spellStart"/>
      <w:r w:rsidR="00DE48EA">
        <w:rPr>
          <w:lang w:val="en-US"/>
        </w:rPr>
        <w:t>Greenplan</w:t>
      </w:r>
      <w:proofErr w:type="spellEnd"/>
      <w:r w:rsidR="00DE48EA">
        <w:rPr>
          <w:lang w:val="en-US"/>
        </w:rPr>
        <w:t xml:space="preserve"> pairs with the EPG ONE App to automate route updates and provide </w:t>
      </w:r>
      <w:r w:rsidR="00DE48EA" w:rsidRPr="00B63C51">
        <w:t>proof of delivery</w:t>
      </w:r>
      <w:r w:rsidR="00DE48EA">
        <w:t xml:space="preserve"> for managers and customer</w:t>
      </w:r>
      <w:r w:rsidR="00DE48EA" w:rsidRPr="00967C10">
        <w:t>s.</w:t>
      </w:r>
    </w:p>
    <w:p w14:paraId="13A35DE3" w14:textId="77777777" w:rsidR="003749E7" w:rsidRPr="00967C10" w:rsidRDefault="003749E7" w:rsidP="00377093">
      <w:pPr>
        <w:pBdr>
          <w:bottom w:val="single" w:sz="12" w:space="1" w:color="000000"/>
        </w:pBdr>
        <w:spacing w:line="384" w:lineRule="auto"/>
        <w:jc w:val="both"/>
        <w:rPr>
          <w:lang w:val="en-US"/>
        </w:rPr>
      </w:pPr>
    </w:p>
    <w:p w14:paraId="7AC76B29" w14:textId="27591D5A" w:rsidR="00DE48EA" w:rsidRPr="00967C10" w:rsidRDefault="00FD40C0" w:rsidP="00DE48EA">
      <w:pPr>
        <w:pBdr>
          <w:bottom w:val="single" w:sz="12" w:space="1" w:color="000000"/>
        </w:pBdr>
        <w:spacing w:line="384" w:lineRule="auto"/>
        <w:jc w:val="both"/>
        <w:rPr>
          <w:lang w:val="en-US"/>
        </w:rPr>
      </w:pPr>
      <w:proofErr w:type="spellStart"/>
      <w:r w:rsidRPr="00967C10">
        <w:rPr>
          <w:lang w:val="en-US"/>
        </w:rPr>
        <w:t>Greenplan’s</w:t>
      </w:r>
      <w:proofErr w:type="spellEnd"/>
      <w:r w:rsidR="00DE48EA" w:rsidRPr="00967C10">
        <w:rPr>
          <w:lang w:val="en-US"/>
        </w:rPr>
        <w:t xml:space="preserve"> dynamic calculation model is fully customizable, adapting to fluctuating demand and aligning with customer-specific priorities to best utilize available resources and reduce energy consumption. </w:t>
      </w:r>
      <w:proofErr w:type="spellStart"/>
      <w:r w:rsidR="00DE48EA" w:rsidRPr="00967C10">
        <w:rPr>
          <w:lang w:val="en-US"/>
        </w:rPr>
        <w:t>Greenplan’s</w:t>
      </w:r>
      <w:proofErr w:type="spellEnd"/>
      <w:r w:rsidR="00DE48EA" w:rsidRPr="00967C10">
        <w:rPr>
          <w:lang w:val="en-US"/>
        </w:rPr>
        <w:t xml:space="preserve"> four distinct solutions are adapted to each company and integrated into existing operations, outfitting dispatchers with tailored tools for data-powered performance.</w:t>
      </w:r>
    </w:p>
    <w:p w14:paraId="5AE29605" w14:textId="7425CBB5" w:rsidR="00377093" w:rsidRPr="00967C10" w:rsidRDefault="00377093" w:rsidP="00377093">
      <w:pPr>
        <w:pBdr>
          <w:bottom w:val="single" w:sz="12" w:space="1" w:color="000000"/>
        </w:pBdr>
        <w:spacing w:line="384" w:lineRule="auto"/>
        <w:jc w:val="both"/>
        <w:rPr>
          <w:lang w:val="en-US"/>
        </w:rPr>
      </w:pPr>
    </w:p>
    <w:p w14:paraId="6332DA4F" w14:textId="0104A17A" w:rsidR="00FA523D" w:rsidRPr="00967C10" w:rsidRDefault="00D50FB7" w:rsidP="00377093">
      <w:pPr>
        <w:pBdr>
          <w:bottom w:val="single" w:sz="12" w:space="1" w:color="000000"/>
        </w:pBdr>
        <w:spacing w:line="384" w:lineRule="auto"/>
        <w:jc w:val="both"/>
        <w:rPr>
          <w:lang w:val="en-US"/>
        </w:rPr>
      </w:pPr>
      <w:proofErr w:type="spellStart"/>
      <w:r w:rsidRPr="00967C10">
        <w:rPr>
          <w:lang w:val="en-US"/>
        </w:rPr>
        <w:t>Greenplan</w:t>
      </w:r>
      <w:proofErr w:type="spellEnd"/>
      <w:r w:rsidRPr="00967C10">
        <w:rPr>
          <w:lang w:val="en-US"/>
        </w:rPr>
        <w:t xml:space="preserve"> considers</w:t>
      </w:r>
      <w:r w:rsidR="00377093" w:rsidRPr="00967C10">
        <w:rPr>
          <w:lang w:val="en-US"/>
        </w:rPr>
        <w:t xml:space="preserve"> the peak and off-peak characteristics of daily traffic flows, </w:t>
      </w:r>
      <w:r w:rsidR="004F1D17" w:rsidRPr="00967C10">
        <w:rPr>
          <w:lang w:val="en-US"/>
        </w:rPr>
        <w:t>using predictive analytics to improve routes</w:t>
      </w:r>
      <w:r w:rsidR="00377093" w:rsidRPr="00967C10">
        <w:rPr>
          <w:lang w:val="en-US"/>
        </w:rPr>
        <w:t xml:space="preserve">, </w:t>
      </w:r>
      <w:r w:rsidR="004F1D17" w:rsidRPr="00967C10">
        <w:rPr>
          <w:lang w:val="en-US"/>
        </w:rPr>
        <w:t>timings,</w:t>
      </w:r>
      <w:r w:rsidR="00377093" w:rsidRPr="00967C10">
        <w:rPr>
          <w:lang w:val="en-US"/>
        </w:rPr>
        <w:t xml:space="preserve"> and efficiencies.</w:t>
      </w:r>
      <w:r w:rsidR="00DE48EA" w:rsidRPr="00967C10">
        <w:rPr>
          <w:lang w:val="en-US"/>
        </w:rPr>
        <w:t xml:space="preserve"> The software </w:t>
      </w:r>
      <w:r w:rsidR="00B57F20" w:rsidRPr="00967C10">
        <w:rPr>
          <w:lang w:val="en-US"/>
        </w:rPr>
        <w:t xml:space="preserve">additionally </w:t>
      </w:r>
      <w:r w:rsidR="00DE48EA" w:rsidRPr="00967C10">
        <w:rPr>
          <w:lang w:val="en-US"/>
        </w:rPr>
        <w:t>calculates overlapping districts to balance loads while preserving drivers’ familiarity with their regions. This method aims to lower overtime hours, shorten handling times, and improve ETA compliance for higher overall efficiency.</w:t>
      </w:r>
      <w:r w:rsidR="00B57F20" w:rsidRPr="00967C10">
        <w:rPr>
          <w:lang w:val="en-US"/>
        </w:rPr>
        <w:t xml:space="preserve"> These elements have long been core features of </w:t>
      </w:r>
      <w:proofErr w:type="spellStart"/>
      <w:r w:rsidR="00B57F20" w:rsidRPr="00967C10">
        <w:rPr>
          <w:lang w:val="en-US"/>
        </w:rPr>
        <w:t>Greenplan’s</w:t>
      </w:r>
      <w:proofErr w:type="spellEnd"/>
      <w:r w:rsidR="00B57F20" w:rsidRPr="00967C10">
        <w:rPr>
          <w:lang w:val="en-US"/>
        </w:rPr>
        <w:t xml:space="preserve"> algorithm, but the software continues to evolve, adding new capabilities like fuel/charging stop optimization </w:t>
      </w:r>
      <w:r w:rsidR="00B57F20" w:rsidRPr="00967C10">
        <w:rPr>
          <w:lang w:val="en-US"/>
        </w:rPr>
        <w:lastRenderedPageBreak/>
        <w:t xml:space="preserve">to calculate fuel prices, recharging availability, and electric vehicle reach for smoother, cost-effective routes. </w:t>
      </w:r>
    </w:p>
    <w:bookmarkEnd w:id="0"/>
    <w:p w14:paraId="3448F514" w14:textId="77777777" w:rsidR="00FA523D" w:rsidRDefault="00FA523D" w:rsidP="00377093">
      <w:pPr>
        <w:pBdr>
          <w:bottom w:val="single" w:sz="12" w:space="1" w:color="000000"/>
        </w:pBdr>
        <w:spacing w:line="384" w:lineRule="auto"/>
        <w:jc w:val="both"/>
        <w:rPr>
          <w:lang w:val="en-US"/>
        </w:rPr>
      </w:pPr>
    </w:p>
    <w:p w14:paraId="77231960" w14:textId="7C3571E1" w:rsidR="00377093" w:rsidRPr="00377093" w:rsidRDefault="00377093" w:rsidP="00377093">
      <w:pPr>
        <w:pBdr>
          <w:bottom w:val="single" w:sz="12" w:space="1" w:color="000000"/>
        </w:pBdr>
        <w:spacing w:line="384" w:lineRule="auto"/>
        <w:jc w:val="both"/>
        <w:rPr>
          <w:lang w:val="en-US"/>
        </w:rPr>
      </w:pPr>
      <w:r w:rsidRPr="00377093">
        <w:rPr>
          <w:lang w:val="en-US"/>
        </w:rPr>
        <w:t>The 202</w:t>
      </w:r>
      <w:r w:rsidR="00FA523D">
        <w:rPr>
          <w:lang w:val="en-US"/>
        </w:rPr>
        <w:t>5</w:t>
      </w:r>
      <w:r w:rsidRPr="00377093">
        <w:rPr>
          <w:lang w:val="en-US"/>
        </w:rPr>
        <w:t xml:space="preserve"> Gartner Market Guide for Vehicle Routing and Scheduling is now available to download. </w:t>
      </w:r>
    </w:p>
    <w:p w14:paraId="18917D54" w14:textId="77777777" w:rsidR="00377093" w:rsidRPr="00377093" w:rsidRDefault="00377093" w:rsidP="00377093">
      <w:pPr>
        <w:pBdr>
          <w:bottom w:val="single" w:sz="12" w:space="1" w:color="000000"/>
        </w:pBdr>
        <w:spacing w:line="384" w:lineRule="auto"/>
        <w:jc w:val="both"/>
        <w:rPr>
          <w:lang w:val="en-US"/>
        </w:rPr>
      </w:pPr>
      <w:r w:rsidRPr="00377093">
        <w:rPr>
          <w:lang w:val="en-US"/>
        </w:rPr>
        <w:t> </w:t>
      </w:r>
    </w:p>
    <w:p w14:paraId="2081B6E4" w14:textId="77777777" w:rsidR="00377093" w:rsidRDefault="00377093" w:rsidP="00377093">
      <w:pPr>
        <w:pBdr>
          <w:bottom w:val="single" w:sz="12" w:space="1" w:color="000000"/>
        </w:pBdr>
        <w:spacing w:line="384" w:lineRule="auto"/>
        <w:jc w:val="both"/>
        <w:rPr>
          <w:lang w:val="en-US"/>
        </w:rPr>
      </w:pPr>
      <w:r w:rsidRPr="00377093">
        <w:rPr>
          <w:vertAlign w:val="superscript"/>
          <w:lang w:val="en-US"/>
        </w:rPr>
        <w:t>1</w:t>
      </w:r>
      <w:r w:rsidRPr="00377093">
        <w:rPr>
          <w:lang w:val="en-US"/>
        </w:rPr>
        <w:t>Gartner Research Methodology, “Market Guide”, 3 October 2023. https://www.gartner.com/en/research/methodologies/market-guide </w:t>
      </w:r>
    </w:p>
    <w:p w14:paraId="3E4E2597" w14:textId="77777777" w:rsidR="00142E2F" w:rsidRPr="00377093" w:rsidRDefault="00142E2F" w:rsidP="00377093">
      <w:pPr>
        <w:pBdr>
          <w:bottom w:val="single" w:sz="12" w:space="1" w:color="000000"/>
        </w:pBdr>
        <w:spacing w:line="384" w:lineRule="auto"/>
        <w:jc w:val="both"/>
        <w:rPr>
          <w:lang w:val="en-US"/>
        </w:rPr>
      </w:pPr>
    </w:p>
    <w:p w14:paraId="2B520539" w14:textId="48E5A1F4" w:rsidR="00377093" w:rsidRDefault="00377093" w:rsidP="00377093">
      <w:pPr>
        <w:pBdr>
          <w:bottom w:val="single" w:sz="12" w:space="1" w:color="000000"/>
        </w:pBdr>
        <w:spacing w:line="384" w:lineRule="auto"/>
        <w:jc w:val="both"/>
        <w:rPr>
          <w:lang w:val="en-US"/>
        </w:rPr>
      </w:pPr>
      <w:r w:rsidRPr="00377093">
        <w:rPr>
          <w:lang w:val="en-US"/>
        </w:rPr>
        <w:t xml:space="preserve">Gartner, Market Guide for Vehicle Routing and Scheduling, Nathan Lease, Carly West, Oscar Sanchez Duran, </w:t>
      </w:r>
      <w:r w:rsidR="00A77CE6">
        <w:rPr>
          <w:lang w:val="en-US"/>
        </w:rPr>
        <w:t>29</w:t>
      </w:r>
      <w:r w:rsidRPr="00377093">
        <w:rPr>
          <w:lang w:val="en-US"/>
        </w:rPr>
        <w:t xml:space="preserve"> </w:t>
      </w:r>
      <w:r w:rsidR="00A77CE6">
        <w:rPr>
          <w:lang w:val="en-US"/>
        </w:rPr>
        <w:t>January</w:t>
      </w:r>
      <w:r w:rsidRPr="00377093">
        <w:rPr>
          <w:lang w:val="en-US"/>
        </w:rPr>
        <w:t xml:space="preserve"> 202</w:t>
      </w:r>
      <w:r w:rsidR="00A77CE6">
        <w:rPr>
          <w:lang w:val="en-US"/>
        </w:rPr>
        <w:t>5</w:t>
      </w:r>
      <w:r w:rsidRPr="00377093">
        <w:rPr>
          <w:lang w:val="en-US"/>
        </w:rPr>
        <w:t>. </w:t>
      </w:r>
    </w:p>
    <w:p w14:paraId="3655C66E" w14:textId="77777777" w:rsidR="00A77CE6" w:rsidRPr="00A77CE6" w:rsidRDefault="00A77CE6" w:rsidP="00A77CE6">
      <w:pPr>
        <w:pBdr>
          <w:bottom w:val="single" w:sz="12" w:space="1" w:color="000000"/>
        </w:pBdr>
        <w:spacing w:line="384" w:lineRule="auto"/>
        <w:jc w:val="both"/>
        <w:rPr>
          <w:lang w:val="en-US"/>
        </w:rPr>
      </w:pPr>
    </w:p>
    <w:p w14:paraId="08BF4D87" w14:textId="13AA37AA" w:rsidR="723A12BA" w:rsidRDefault="00A77CE6" w:rsidP="00A77CE6">
      <w:pPr>
        <w:pBdr>
          <w:bottom w:val="single" w:sz="12" w:space="1" w:color="000000"/>
        </w:pBdr>
        <w:spacing w:line="384" w:lineRule="auto"/>
        <w:jc w:val="both"/>
        <w:rPr>
          <w:lang w:val="en-US"/>
        </w:rPr>
      </w:pPr>
      <w:r w:rsidRPr="00A77CE6">
        <w:rPr>
          <w:lang w:val="en-US"/>
        </w:rPr>
        <w:t>GARTNER is a registered trademark and service mark of Gartner, Inc. and/or its affiliates in the U.S. and internationally and is used herein with permission. All rights reserved. Gartner does not endorse any vendor, product or service depicted in its research publications, and does not advise technology users to select only those vendors with the highest ratings or other designation. Gartner research publications consist of the opinions of Gartner’s research organization and should not be construed as statements of fact. Gartner disclaims all warranties, expressed or implied, with respect to this research, including any warranties of merchantability or fitness for a particular purpose.</w:t>
      </w:r>
    </w:p>
    <w:p w14:paraId="2B6FDCE2" w14:textId="566719D8" w:rsidR="723A12BA" w:rsidRDefault="723A12BA" w:rsidP="78BC53E6">
      <w:pPr>
        <w:pBdr>
          <w:bottom w:val="single" w:sz="12" w:space="1" w:color="000000"/>
        </w:pBdr>
        <w:spacing w:line="384" w:lineRule="auto"/>
        <w:jc w:val="both"/>
        <w:rPr>
          <w:lang w:val="en-US"/>
        </w:rPr>
      </w:pPr>
    </w:p>
    <w:p w14:paraId="2E06419C" w14:textId="19E3569F" w:rsidR="723A12BA" w:rsidRDefault="723A12BA" w:rsidP="78BC53E6">
      <w:pPr>
        <w:pBdr>
          <w:bottom w:val="single" w:sz="12" w:space="1" w:color="000000"/>
        </w:pBdr>
        <w:spacing w:line="384" w:lineRule="auto"/>
        <w:jc w:val="both"/>
        <w:rPr>
          <w:lang w:val="en-US"/>
        </w:rPr>
      </w:pPr>
    </w:p>
    <w:p w14:paraId="57458D28" w14:textId="2B265B16" w:rsidR="723A12BA" w:rsidRPr="00142E2F" w:rsidRDefault="723A12BA" w:rsidP="78BC53E6">
      <w:pPr>
        <w:spacing w:line="312" w:lineRule="auto"/>
        <w:jc w:val="both"/>
        <w:rPr>
          <w:sz w:val="20"/>
          <w:szCs w:val="20"/>
          <w:lang w:val="en-US"/>
        </w:rPr>
      </w:pPr>
    </w:p>
    <w:p w14:paraId="2F860F0C" w14:textId="010A822E" w:rsidR="723A12BA" w:rsidRDefault="503FA26F" w:rsidP="4EBE3A39">
      <w:pPr>
        <w:spacing w:line="384" w:lineRule="auto"/>
        <w:jc w:val="both"/>
        <w:rPr>
          <w:b/>
          <w:bCs/>
          <w:lang w:val="en-GB"/>
        </w:rPr>
      </w:pPr>
      <w:r w:rsidRPr="100C1DCD">
        <w:rPr>
          <w:b/>
          <w:bCs/>
          <w:lang w:val="en-GB"/>
        </w:rPr>
        <w:t xml:space="preserve">Date:  </w:t>
      </w:r>
      <w:r w:rsidR="723A12BA">
        <w:tab/>
      </w:r>
      <w:r w:rsidR="723A12BA">
        <w:tab/>
      </w:r>
      <w:r w:rsidR="723A12BA">
        <w:tab/>
      </w:r>
      <w:r w:rsidR="00523369">
        <w:rPr>
          <w:b/>
          <w:bCs/>
          <w:lang w:val="en-GB"/>
        </w:rPr>
        <w:t>February 3</w:t>
      </w:r>
      <w:r w:rsidR="696123A7" w:rsidRPr="100C1DCD">
        <w:rPr>
          <w:b/>
          <w:bCs/>
          <w:lang w:val="en-GB"/>
        </w:rPr>
        <w:t>,</w:t>
      </w:r>
      <w:r w:rsidRPr="100C1DCD">
        <w:rPr>
          <w:b/>
          <w:bCs/>
          <w:lang w:val="en-GB"/>
        </w:rPr>
        <w:t xml:space="preserve"> 202</w:t>
      </w:r>
      <w:r w:rsidR="00523369">
        <w:rPr>
          <w:b/>
          <w:bCs/>
          <w:lang w:val="en-GB"/>
        </w:rPr>
        <w:t>5</w:t>
      </w:r>
    </w:p>
    <w:p w14:paraId="1C47491A" w14:textId="2BB743D2" w:rsidR="723A12BA" w:rsidRDefault="503FA26F" w:rsidP="4EBE3A39">
      <w:pPr>
        <w:spacing w:line="384" w:lineRule="auto"/>
        <w:jc w:val="both"/>
      </w:pPr>
      <w:r w:rsidRPr="100C1DCD">
        <w:rPr>
          <w:b/>
          <w:bCs/>
          <w:lang w:val="en-GB"/>
        </w:rPr>
        <w:t xml:space="preserve">Length of text: </w:t>
      </w:r>
      <w:r w:rsidR="723A12BA">
        <w:tab/>
      </w:r>
      <w:r w:rsidR="00967C10">
        <w:rPr>
          <w:b/>
          <w:bCs/>
          <w:lang w:val="en-GB"/>
        </w:rPr>
        <w:t>5,118</w:t>
      </w:r>
      <w:r w:rsidR="7CD98DE1" w:rsidRPr="100C1DCD">
        <w:rPr>
          <w:b/>
          <w:bCs/>
          <w:lang w:val="en-GB"/>
        </w:rPr>
        <w:t xml:space="preserve"> </w:t>
      </w:r>
      <w:r w:rsidRPr="100C1DCD">
        <w:rPr>
          <w:b/>
          <w:bCs/>
          <w:lang w:val="en-GB"/>
        </w:rPr>
        <w:t>characters including spaces</w:t>
      </w:r>
    </w:p>
    <w:p w14:paraId="7DB7C72C" w14:textId="618320A9" w:rsidR="723A12BA" w:rsidRDefault="723A12BA" w:rsidP="4EBE3A39">
      <w:pPr>
        <w:pBdr>
          <w:bottom w:val="single" w:sz="12" w:space="1" w:color="000000"/>
        </w:pBdr>
        <w:spacing w:line="384" w:lineRule="auto"/>
        <w:jc w:val="both"/>
      </w:pPr>
      <w:r w:rsidRPr="00B010F3">
        <w:rPr>
          <w:lang w:val="en-US"/>
        </w:rPr>
        <w:t xml:space="preserve"> </w:t>
      </w:r>
    </w:p>
    <w:p w14:paraId="10F53214" w14:textId="3BC8F62D" w:rsidR="723A12BA" w:rsidRDefault="723A12BA" w:rsidP="4EBE3A39">
      <w:pPr>
        <w:spacing w:line="312" w:lineRule="auto"/>
        <w:jc w:val="both"/>
      </w:pPr>
      <w:r w:rsidRPr="00B010F3">
        <w:rPr>
          <w:sz w:val="20"/>
          <w:lang w:val="en-US"/>
        </w:rPr>
        <w:t xml:space="preserve"> </w:t>
      </w:r>
    </w:p>
    <w:p w14:paraId="32B954E6" w14:textId="022A0359" w:rsidR="723A12BA" w:rsidRDefault="723A12BA" w:rsidP="4EBE3A39">
      <w:pPr>
        <w:spacing w:line="312" w:lineRule="auto"/>
        <w:jc w:val="both"/>
        <w:rPr>
          <w:b/>
          <w:bCs/>
          <w:lang w:val="en-GB"/>
        </w:rPr>
      </w:pPr>
      <w:r w:rsidRPr="4EBE3A39">
        <w:rPr>
          <w:b/>
          <w:bCs/>
          <w:lang w:val="en-GB"/>
        </w:rPr>
        <w:t>EPG – Smarter Connected Logistics</w:t>
      </w:r>
    </w:p>
    <w:p w14:paraId="642E7E7D" w14:textId="411BC4F1" w:rsidR="723A12BA" w:rsidRDefault="723A12BA" w:rsidP="4EBE3A39">
      <w:pPr>
        <w:spacing w:line="360" w:lineRule="auto"/>
        <w:jc w:val="both"/>
        <w:rPr>
          <w:lang w:val="en-GB"/>
        </w:rPr>
      </w:pPr>
      <w:r w:rsidRPr="4EBE3A39">
        <w:rPr>
          <w:lang w:val="en-GB"/>
        </w:rPr>
        <w:t>EPG is a leading international provider for a comprehensive Supply Chain Execution Suite (EPG ONE</w:t>
      </w:r>
      <w:r w:rsidRPr="4EBE3A39">
        <w:rPr>
          <w:color w:val="202124"/>
          <w:lang w:val="en-GB"/>
        </w:rPr>
        <w:t>™</w:t>
      </w:r>
      <w:r w:rsidRPr="4EBE3A39">
        <w:rPr>
          <w:lang w:val="en-GB"/>
        </w:rPr>
        <w:t xml:space="preserve">) and employs 1,000 people at 23 locations around the world. The company group provides </w:t>
      </w:r>
      <w:r w:rsidRPr="4EBE3A39">
        <w:rPr>
          <w:lang w:val="en-GB"/>
        </w:rPr>
        <w:lastRenderedPageBreak/>
        <w:t>its more than 1,600 customers with WMS, WCS, WFM, TMS and voice solutions to optimize logistics processes – from manual to fully automated logistics environments. EPG solutions cover the entire supply chain: From warehouse and road to ground and cargo handling solutions at airports. Logistics consulting, cloud services, managed services and logistics training courses at the company's own academy round out the comprehensive list of solutions from EPG.</w:t>
      </w:r>
    </w:p>
    <w:p w14:paraId="73419913" w14:textId="2CA479FE" w:rsidR="723A12BA" w:rsidRDefault="723A12BA" w:rsidP="4EBE3A39">
      <w:r w:rsidRPr="4EBE3A39">
        <w:rPr>
          <w:rFonts w:ascii="Times New Roman" w:eastAsia="Times New Roman" w:hAnsi="Times New Roman" w:cs="Times New Roman"/>
          <w:sz w:val="20"/>
          <w:szCs w:val="20"/>
          <w:lang w:val="en-US"/>
        </w:rPr>
        <w:t xml:space="preserve"> </w:t>
      </w:r>
    </w:p>
    <w:p w14:paraId="4F255BCE" w14:textId="260AD21B" w:rsidR="723A12BA" w:rsidRDefault="723A12BA" w:rsidP="4EBE3A39">
      <w:pPr>
        <w:spacing w:line="360" w:lineRule="auto"/>
        <w:ind w:right="-1"/>
        <w:jc w:val="both"/>
      </w:pPr>
      <w:r w:rsidRPr="4EBE3A39">
        <w:rPr>
          <w:b/>
          <w:bCs/>
          <w:sz w:val="20"/>
          <w:szCs w:val="20"/>
          <w:lang w:val="en-US"/>
        </w:rPr>
        <w:t xml:space="preserve">Company Contact  </w:t>
      </w:r>
    </w:p>
    <w:p w14:paraId="3145F5A8" w14:textId="425BC5C1" w:rsidR="723A12BA" w:rsidRDefault="723A12BA" w:rsidP="4EBE3A39">
      <w:pPr>
        <w:spacing w:line="360" w:lineRule="auto"/>
        <w:jc w:val="both"/>
        <w:rPr>
          <w:sz w:val="20"/>
          <w:szCs w:val="20"/>
          <w:lang w:val="en-US"/>
        </w:rPr>
      </w:pPr>
      <w:r w:rsidRPr="4EBE3A39">
        <w:rPr>
          <w:sz w:val="20"/>
          <w:szCs w:val="20"/>
          <w:lang w:val="en-US"/>
        </w:rPr>
        <w:t>EPG – Ehrhardt Partner Group</w:t>
      </w:r>
    </w:p>
    <w:p w14:paraId="39E93E04" w14:textId="3655E349" w:rsidR="723A12BA" w:rsidRPr="00EF7EF7" w:rsidRDefault="723A12BA" w:rsidP="4EBE3A39">
      <w:pPr>
        <w:spacing w:line="360" w:lineRule="auto"/>
        <w:jc w:val="both"/>
        <w:rPr>
          <w:lang w:val="de-DE"/>
        </w:rPr>
      </w:pPr>
      <w:r w:rsidRPr="4EBE3A39">
        <w:rPr>
          <w:sz w:val="20"/>
          <w:szCs w:val="20"/>
          <w:lang w:val="de"/>
        </w:rPr>
        <w:t xml:space="preserve">Dennis Kunz </w:t>
      </w:r>
    </w:p>
    <w:p w14:paraId="14F1BECF" w14:textId="0769F08F" w:rsidR="723A12BA" w:rsidRPr="00EF7EF7" w:rsidRDefault="723A12BA" w:rsidP="4EBE3A39">
      <w:pPr>
        <w:spacing w:line="360" w:lineRule="auto"/>
        <w:jc w:val="both"/>
        <w:rPr>
          <w:lang w:val="de-DE"/>
        </w:rPr>
      </w:pPr>
      <w:r w:rsidRPr="4EBE3A39">
        <w:rPr>
          <w:sz w:val="20"/>
          <w:szCs w:val="20"/>
          <w:lang w:val="de"/>
        </w:rPr>
        <w:t>Tel.: (+49) 67 42-87 27 0</w:t>
      </w:r>
    </w:p>
    <w:p w14:paraId="10AE9FFC" w14:textId="5136A5E1" w:rsidR="723A12BA" w:rsidRDefault="723A12BA" w:rsidP="4EBE3A39">
      <w:pPr>
        <w:spacing w:line="360" w:lineRule="auto"/>
        <w:jc w:val="both"/>
        <w:rPr>
          <w:rStyle w:val="Hyperlink"/>
          <w:sz w:val="20"/>
          <w:szCs w:val="20"/>
          <w:lang w:val="de"/>
        </w:rPr>
      </w:pPr>
      <w:r w:rsidRPr="4EBE3A39">
        <w:rPr>
          <w:sz w:val="20"/>
          <w:szCs w:val="20"/>
          <w:lang w:val="de"/>
        </w:rPr>
        <w:t>E-Mail: presse@epg.com • Internet: www.epg.com</w:t>
      </w:r>
    </w:p>
    <w:p w14:paraId="1A63EC1C" w14:textId="50D36C06" w:rsidR="723A12BA" w:rsidRPr="00EF7EF7" w:rsidRDefault="723A12BA" w:rsidP="4EBE3A39">
      <w:pPr>
        <w:spacing w:line="336" w:lineRule="auto"/>
        <w:rPr>
          <w:lang w:val="de-DE"/>
        </w:rPr>
      </w:pPr>
      <w:r w:rsidRPr="4EBE3A39">
        <w:rPr>
          <w:sz w:val="20"/>
          <w:szCs w:val="20"/>
          <w:lang w:val="de"/>
        </w:rPr>
        <w:t xml:space="preserve"> </w:t>
      </w:r>
    </w:p>
    <w:p w14:paraId="27C04AEC" w14:textId="1AB6BAB4" w:rsidR="723A12BA" w:rsidRDefault="723A12BA" w:rsidP="4EBE3A39">
      <w:pPr>
        <w:spacing w:line="336" w:lineRule="auto"/>
        <w:rPr>
          <w:b/>
          <w:bCs/>
          <w:sz w:val="20"/>
          <w:szCs w:val="20"/>
          <w:lang w:val="en-US"/>
        </w:rPr>
      </w:pPr>
      <w:r w:rsidRPr="4EBE3A39">
        <w:rPr>
          <w:b/>
          <w:bCs/>
          <w:sz w:val="20"/>
          <w:szCs w:val="20"/>
          <w:lang w:val="en-US"/>
        </w:rPr>
        <w:t>Press Contact</w:t>
      </w:r>
    </w:p>
    <w:p w14:paraId="2D956E1F" w14:textId="2A0125CB" w:rsidR="723A12BA" w:rsidRDefault="723A12BA" w:rsidP="4EBE3A39">
      <w:pPr>
        <w:spacing w:line="336" w:lineRule="auto"/>
      </w:pPr>
      <w:r w:rsidRPr="4EBE3A39">
        <w:rPr>
          <w:sz w:val="20"/>
          <w:szCs w:val="20"/>
          <w:lang w:val="en-US"/>
        </w:rPr>
        <w:t>BFOUND GmbH</w:t>
      </w:r>
    </w:p>
    <w:p w14:paraId="66EBBCF1" w14:textId="06FDB01F" w:rsidR="7D9678F2" w:rsidRDefault="7D9678F2" w:rsidP="4EBE3A39">
      <w:pPr>
        <w:rPr>
          <w:sz w:val="20"/>
          <w:szCs w:val="20"/>
          <w:lang w:val="en-US"/>
        </w:rPr>
      </w:pPr>
      <w:r w:rsidRPr="4EBE3A39">
        <w:rPr>
          <w:sz w:val="20"/>
          <w:szCs w:val="20"/>
          <w:lang w:val="en-US"/>
        </w:rPr>
        <w:t>Thor Riemschneider</w:t>
      </w:r>
    </w:p>
    <w:p w14:paraId="19607E6D" w14:textId="3C7FD6C4" w:rsidR="723A12BA" w:rsidRPr="00EF7EF7" w:rsidRDefault="723A12BA" w:rsidP="4EBE3A39">
      <w:pPr>
        <w:spacing w:line="360" w:lineRule="auto"/>
        <w:jc w:val="both"/>
        <w:rPr>
          <w:lang w:val="de-DE"/>
        </w:rPr>
      </w:pPr>
      <w:r w:rsidRPr="4EBE3A39">
        <w:rPr>
          <w:sz w:val="20"/>
          <w:szCs w:val="20"/>
          <w:lang w:val="de"/>
        </w:rPr>
        <w:t xml:space="preserve">Tel.: (+49) </w:t>
      </w:r>
      <w:r w:rsidR="024DA91F" w:rsidRPr="4EBE3A39">
        <w:rPr>
          <w:sz w:val="20"/>
          <w:szCs w:val="20"/>
          <w:lang w:val="de"/>
        </w:rPr>
        <w:t>6742 8727-1209</w:t>
      </w:r>
    </w:p>
    <w:p w14:paraId="610F5A35" w14:textId="163ED069" w:rsidR="723A12BA" w:rsidRPr="00EF7EF7" w:rsidRDefault="723A12BA" w:rsidP="4EBE3A39">
      <w:pPr>
        <w:spacing w:line="360" w:lineRule="auto"/>
        <w:jc w:val="both"/>
        <w:rPr>
          <w:lang w:val="de-DE"/>
        </w:rPr>
      </w:pPr>
      <w:r w:rsidRPr="4EBE3A39">
        <w:rPr>
          <w:sz w:val="20"/>
          <w:szCs w:val="20"/>
          <w:lang w:val="de"/>
        </w:rPr>
        <w:t xml:space="preserve">E-Mail: </w:t>
      </w:r>
      <w:r w:rsidR="27E03395" w:rsidRPr="4EBE3A39">
        <w:rPr>
          <w:sz w:val="20"/>
          <w:szCs w:val="20"/>
          <w:lang w:val="de"/>
        </w:rPr>
        <w:t>Thor.Riemschneider</w:t>
      </w:r>
      <w:r w:rsidRPr="4EBE3A39">
        <w:rPr>
          <w:sz w:val="20"/>
          <w:szCs w:val="20"/>
          <w:lang w:val="de"/>
        </w:rPr>
        <w:t>@bfound.com • presse@epg.com • Internet: www.epg.com</w:t>
      </w:r>
    </w:p>
    <w:p w14:paraId="35F617E7" w14:textId="11151A09" w:rsidR="4EBE3A39" w:rsidRPr="00EF7EF7" w:rsidRDefault="4EBE3A39" w:rsidP="4EBE3A39">
      <w:pPr>
        <w:spacing w:line="360" w:lineRule="auto"/>
        <w:rPr>
          <w:lang w:val="de-DE"/>
        </w:rPr>
      </w:pPr>
    </w:p>
    <w:sectPr w:rsidR="4EBE3A39" w:rsidRPr="00EF7EF7">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8D357" w14:textId="77777777" w:rsidR="00365FFD" w:rsidRDefault="00365FFD">
      <w:pPr>
        <w:spacing w:line="240" w:lineRule="auto"/>
      </w:pPr>
      <w:r>
        <w:separator/>
      </w:r>
    </w:p>
  </w:endnote>
  <w:endnote w:type="continuationSeparator" w:id="0">
    <w:p w14:paraId="1BB09A29" w14:textId="77777777" w:rsidR="00365FFD" w:rsidRDefault="00365FFD">
      <w:pPr>
        <w:spacing w:line="240" w:lineRule="auto"/>
      </w:pPr>
      <w:r>
        <w:continuationSeparator/>
      </w:r>
    </w:p>
  </w:endnote>
  <w:endnote w:type="continuationNotice" w:id="1">
    <w:p w14:paraId="4355A510" w14:textId="77777777" w:rsidR="00365FFD" w:rsidRDefault="00365FF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EBE3A39" w14:paraId="79A10E8E" w14:textId="77777777" w:rsidTr="4EBE3A39">
      <w:trPr>
        <w:trHeight w:val="300"/>
      </w:trPr>
      <w:tc>
        <w:tcPr>
          <w:tcW w:w="3120" w:type="dxa"/>
        </w:tcPr>
        <w:p w14:paraId="1F6157E3" w14:textId="24733A86" w:rsidR="4EBE3A39" w:rsidRDefault="4EBE3A39" w:rsidP="4EBE3A39">
          <w:pPr>
            <w:pStyle w:val="Header"/>
            <w:ind w:left="-115"/>
          </w:pPr>
        </w:p>
      </w:tc>
      <w:tc>
        <w:tcPr>
          <w:tcW w:w="3120" w:type="dxa"/>
        </w:tcPr>
        <w:p w14:paraId="123721B1" w14:textId="0552A9F3" w:rsidR="4EBE3A39" w:rsidRDefault="4EBE3A39" w:rsidP="4EBE3A39">
          <w:pPr>
            <w:pStyle w:val="Header"/>
            <w:jc w:val="center"/>
          </w:pPr>
        </w:p>
      </w:tc>
      <w:tc>
        <w:tcPr>
          <w:tcW w:w="3120" w:type="dxa"/>
        </w:tcPr>
        <w:p w14:paraId="3F87CFAC" w14:textId="0AF1C8B5" w:rsidR="4EBE3A39" w:rsidRDefault="4EBE3A39" w:rsidP="4EBE3A39">
          <w:pPr>
            <w:pStyle w:val="Header"/>
            <w:ind w:right="-115"/>
            <w:jc w:val="right"/>
          </w:pPr>
        </w:p>
      </w:tc>
    </w:tr>
  </w:tbl>
  <w:p w14:paraId="148B2564" w14:textId="50E2BFD7" w:rsidR="4EBE3A39" w:rsidRDefault="4EBE3A39" w:rsidP="4EBE3A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358FC" w14:textId="77777777" w:rsidR="00365FFD" w:rsidRDefault="00365FFD">
      <w:pPr>
        <w:spacing w:line="240" w:lineRule="auto"/>
      </w:pPr>
      <w:r>
        <w:separator/>
      </w:r>
    </w:p>
  </w:footnote>
  <w:footnote w:type="continuationSeparator" w:id="0">
    <w:p w14:paraId="7CA1ACB3" w14:textId="77777777" w:rsidR="00365FFD" w:rsidRDefault="00365FFD">
      <w:pPr>
        <w:spacing w:line="240" w:lineRule="auto"/>
      </w:pPr>
      <w:r>
        <w:continuationSeparator/>
      </w:r>
    </w:p>
  </w:footnote>
  <w:footnote w:type="continuationNotice" w:id="1">
    <w:p w14:paraId="6B8F2A67" w14:textId="77777777" w:rsidR="00365FFD" w:rsidRDefault="00365FF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6240"/>
      <w:gridCol w:w="3120"/>
    </w:tblGrid>
    <w:tr w:rsidR="4EBE3A39" w14:paraId="1206CB47" w14:textId="62B0982D" w:rsidTr="643AF453">
      <w:trPr>
        <w:trHeight w:val="1605"/>
      </w:trPr>
      <w:tc>
        <w:tcPr>
          <w:tcW w:w="6240" w:type="dxa"/>
          <w:shd w:val="clear" w:color="auto" w:fill="FFFFFF" w:themeFill="background1"/>
          <w:vAlign w:val="bottom"/>
        </w:tcPr>
        <w:p w14:paraId="667B0857" w14:textId="5CB65BD3" w:rsidR="4EBE3A39" w:rsidRDefault="4EBE3A39" w:rsidP="643AF453">
          <w:pPr>
            <w:tabs>
              <w:tab w:val="center" w:pos="4536"/>
              <w:tab w:val="right" w:pos="10065"/>
            </w:tabs>
            <w:spacing w:before="240"/>
          </w:pPr>
          <w:r w:rsidRPr="4EBE3A39">
            <w:rPr>
              <w:b/>
              <w:bCs/>
              <w:color w:val="7F7F7F" w:themeColor="text1" w:themeTint="80"/>
              <w:sz w:val="40"/>
              <w:szCs w:val="40"/>
              <w:lang w:val="en-GB"/>
            </w:rPr>
            <w:t xml:space="preserve">Press release                            </w:t>
          </w:r>
        </w:p>
      </w:tc>
      <w:tc>
        <w:tcPr>
          <w:tcW w:w="3120" w:type="dxa"/>
          <w:shd w:val="clear" w:color="auto" w:fill="FFFFFF" w:themeFill="background1"/>
          <w:vAlign w:val="bottom"/>
        </w:tcPr>
        <w:p w14:paraId="1D30C873" w14:textId="65D2EA36" w:rsidR="4EBE3A39" w:rsidRDefault="643AF453" w:rsidP="4EBE3A39">
          <w:pPr>
            <w:pStyle w:val="Header"/>
            <w:ind w:right="-115"/>
            <w:jc w:val="right"/>
          </w:pPr>
          <w:r>
            <w:rPr>
              <w:noProof/>
            </w:rPr>
            <w:drawing>
              <wp:inline distT="0" distB="0" distL="0" distR="0" wp14:anchorId="437667DE" wp14:editId="7564F95E">
                <wp:extent cx="1841152" cy="774402"/>
                <wp:effectExtent l="9525" t="9525" r="9525" b="9525"/>
                <wp:docPr id="911999171" name="Grafik 911999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11999171"/>
                        <pic:cNvPicPr/>
                      </pic:nvPicPr>
                      <pic:blipFill>
                        <a:blip r:embed="rId1">
                          <a:extLst>
                            <a:ext uri="{28A0092B-C50C-407E-A947-70E740481C1C}">
                              <a14:useLocalDpi xmlns:a14="http://schemas.microsoft.com/office/drawing/2010/main" val="0"/>
                            </a:ext>
                          </a:extLst>
                        </a:blip>
                        <a:srcRect b="7954"/>
                        <a:stretch>
                          <a:fillRect/>
                        </a:stretch>
                      </pic:blipFill>
                      <pic:spPr>
                        <a:xfrm>
                          <a:off x="0" y="0"/>
                          <a:ext cx="1841152" cy="774402"/>
                        </a:xfrm>
                        <a:prstGeom prst="rect">
                          <a:avLst/>
                        </a:prstGeom>
                        <a:ln w="9525">
                          <a:solidFill>
                            <a:schemeClr val="bg1"/>
                          </a:solidFill>
                          <a:prstDash val="solid"/>
                        </a:ln>
                      </pic:spPr>
                    </pic:pic>
                  </a:graphicData>
                </a:graphic>
              </wp:inline>
            </w:drawing>
          </w:r>
        </w:p>
      </w:tc>
    </w:tr>
  </w:tbl>
  <w:p w14:paraId="3E8A8683" w14:textId="29FA8710" w:rsidR="4EBE3A39" w:rsidRDefault="4EBE3A39" w:rsidP="4EBE3A39">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EA10"/>
    <w:multiLevelType w:val="hybridMultilevel"/>
    <w:tmpl w:val="2294E9B8"/>
    <w:lvl w:ilvl="0" w:tplc="E7900162">
      <w:start w:val="3"/>
      <w:numFmt w:val="decimal"/>
      <w:lvlText w:val="%1."/>
      <w:lvlJc w:val="left"/>
      <w:pPr>
        <w:ind w:left="720" w:hanging="360"/>
      </w:pPr>
    </w:lvl>
    <w:lvl w:ilvl="1" w:tplc="6F963F0C">
      <w:start w:val="1"/>
      <w:numFmt w:val="lowerLetter"/>
      <w:lvlText w:val="%2."/>
      <w:lvlJc w:val="left"/>
      <w:pPr>
        <w:ind w:left="1440" w:hanging="360"/>
      </w:pPr>
    </w:lvl>
    <w:lvl w:ilvl="2" w:tplc="19CE52A8">
      <w:start w:val="1"/>
      <w:numFmt w:val="lowerRoman"/>
      <w:lvlText w:val="%3."/>
      <w:lvlJc w:val="right"/>
      <w:pPr>
        <w:ind w:left="2160" w:hanging="180"/>
      </w:pPr>
    </w:lvl>
    <w:lvl w:ilvl="3" w:tplc="4C1086E2">
      <w:start w:val="1"/>
      <w:numFmt w:val="decimal"/>
      <w:lvlText w:val="%4."/>
      <w:lvlJc w:val="left"/>
      <w:pPr>
        <w:ind w:left="2880" w:hanging="360"/>
      </w:pPr>
    </w:lvl>
    <w:lvl w:ilvl="4" w:tplc="21C86D20">
      <w:start w:val="1"/>
      <w:numFmt w:val="lowerLetter"/>
      <w:lvlText w:val="%5."/>
      <w:lvlJc w:val="left"/>
      <w:pPr>
        <w:ind w:left="3600" w:hanging="360"/>
      </w:pPr>
    </w:lvl>
    <w:lvl w:ilvl="5" w:tplc="CFB4D6F6">
      <w:start w:val="1"/>
      <w:numFmt w:val="lowerRoman"/>
      <w:lvlText w:val="%6."/>
      <w:lvlJc w:val="right"/>
      <w:pPr>
        <w:ind w:left="4320" w:hanging="180"/>
      </w:pPr>
    </w:lvl>
    <w:lvl w:ilvl="6" w:tplc="2932D2E4">
      <w:start w:val="1"/>
      <w:numFmt w:val="decimal"/>
      <w:lvlText w:val="%7."/>
      <w:lvlJc w:val="left"/>
      <w:pPr>
        <w:ind w:left="5040" w:hanging="360"/>
      </w:pPr>
    </w:lvl>
    <w:lvl w:ilvl="7" w:tplc="F6E0BC0E">
      <w:start w:val="1"/>
      <w:numFmt w:val="lowerLetter"/>
      <w:lvlText w:val="%8."/>
      <w:lvlJc w:val="left"/>
      <w:pPr>
        <w:ind w:left="5760" w:hanging="360"/>
      </w:pPr>
    </w:lvl>
    <w:lvl w:ilvl="8" w:tplc="0A6C5622">
      <w:start w:val="1"/>
      <w:numFmt w:val="lowerRoman"/>
      <w:lvlText w:val="%9."/>
      <w:lvlJc w:val="right"/>
      <w:pPr>
        <w:ind w:left="6480" w:hanging="180"/>
      </w:pPr>
    </w:lvl>
  </w:abstractNum>
  <w:abstractNum w:abstractNumId="1" w15:restartNumberingAfterBreak="0">
    <w:nsid w:val="11A4D2D9"/>
    <w:multiLevelType w:val="hybridMultilevel"/>
    <w:tmpl w:val="DA884066"/>
    <w:lvl w:ilvl="0" w:tplc="E4C624E0">
      <w:start w:val="1"/>
      <w:numFmt w:val="decimal"/>
      <w:lvlText w:val="%1."/>
      <w:lvlJc w:val="left"/>
      <w:pPr>
        <w:ind w:left="720" w:hanging="360"/>
      </w:pPr>
    </w:lvl>
    <w:lvl w:ilvl="1" w:tplc="FE2430BC">
      <w:start w:val="1"/>
      <w:numFmt w:val="lowerLetter"/>
      <w:lvlText w:val="%2."/>
      <w:lvlJc w:val="left"/>
      <w:pPr>
        <w:ind w:left="1440" w:hanging="360"/>
      </w:pPr>
    </w:lvl>
    <w:lvl w:ilvl="2" w:tplc="2566418C">
      <w:start w:val="1"/>
      <w:numFmt w:val="lowerRoman"/>
      <w:lvlText w:val="%3."/>
      <w:lvlJc w:val="right"/>
      <w:pPr>
        <w:ind w:left="2160" w:hanging="180"/>
      </w:pPr>
    </w:lvl>
    <w:lvl w:ilvl="3" w:tplc="0BECB36C">
      <w:start w:val="1"/>
      <w:numFmt w:val="decimal"/>
      <w:lvlText w:val="%4."/>
      <w:lvlJc w:val="left"/>
      <w:pPr>
        <w:ind w:left="2880" w:hanging="360"/>
      </w:pPr>
    </w:lvl>
    <w:lvl w:ilvl="4" w:tplc="A6B4F444">
      <w:start w:val="1"/>
      <w:numFmt w:val="lowerLetter"/>
      <w:lvlText w:val="%5."/>
      <w:lvlJc w:val="left"/>
      <w:pPr>
        <w:ind w:left="3600" w:hanging="360"/>
      </w:pPr>
    </w:lvl>
    <w:lvl w:ilvl="5" w:tplc="802C8AC0">
      <w:start w:val="1"/>
      <w:numFmt w:val="lowerRoman"/>
      <w:lvlText w:val="%6."/>
      <w:lvlJc w:val="right"/>
      <w:pPr>
        <w:ind w:left="4320" w:hanging="180"/>
      </w:pPr>
    </w:lvl>
    <w:lvl w:ilvl="6" w:tplc="60A869FA">
      <w:start w:val="1"/>
      <w:numFmt w:val="decimal"/>
      <w:lvlText w:val="%7."/>
      <w:lvlJc w:val="left"/>
      <w:pPr>
        <w:ind w:left="5040" w:hanging="360"/>
      </w:pPr>
    </w:lvl>
    <w:lvl w:ilvl="7" w:tplc="287694A8">
      <w:start w:val="1"/>
      <w:numFmt w:val="lowerLetter"/>
      <w:lvlText w:val="%8."/>
      <w:lvlJc w:val="left"/>
      <w:pPr>
        <w:ind w:left="5760" w:hanging="360"/>
      </w:pPr>
    </w:lvl>
    <w:lvl w:ilvl="8" w:tplc="7374B2D6">
      <w:start w:val="1"/>
      <w:numFmt w:val="lowerRoman"/>
      <w:lvlText w:val="%9."/>
      <w:lvlJc w:val="right"/>
      <w:pPr>
        <w:ind w:left="6480" w:hanging="180"/>
      </w:pPr>
    </w:lvl>
  </w:abstractNum>
  <w:abstractNum w:abstractNumId="2" w15:restartNumberingAfterBreak="0">
    <w:nsid w:val="11D696F4"/>
    <w:multiLevelType w:val="hybridMultilevel"/>
    <w:tmpl w:val="4F6A2F2C"/>
    <w:lvl w:ilvl="0" w:tplc="040C7F70">
      <w:start w:val="2"/>
      <w:numFmt w:val="decimal"/>
      <w:lvlText w:val="%1."/>
      <w:lvlJc w:val="left"/>
      <w:pPr>
        <w:ind w:left="720" w:hanging="360"/>
      </w:pPr>
    </w:lvl>
    <w:lvl w:ilvl="1" w:tplc="74C888A0">
      <w:start w:val="1"/>
      <w:numFmt w:val="lowerLetter"/>
      <w:lvlText w:val="%2."/>
      <w:lvlJc w:val="left"/>
      <w:pPr>
        <w:ind w:left="1440" w:hanging="360"/>
      </w:pPr>
    </w:lvl>
    <w:lvl w:ilvl="2" w:tplc="0ABC41B6">
      <w:start w:val="1"/>
      <w:numFmt w:val="lowerRoman"/>
      <w:lvlText w:val="%3."/>
      <w:lvlJc w:val="right"/>
      <w:pPr>
        <w:ind w:left="2160" w:hanging="180"/>
      </w:pPr>
    </w:lvl>
    <w:lvl w:ilvl="3" w:tplc="3B602D0C">
      <w:start w:val="1"/>
      <w:numFmt w:val="decimal"/>
      <w:lvlText w:val="%4."/>
      <w:lvlJc w:val="left"/>
      <w:pPr>
        <w:ind w:left="2880" w:hanging="360"/>
      </w:pPr>
    </w:lvl>
    <w:lvl w:ilvl="4" w:tplc="89ACF93C">
      <w:start w:val="1"/>
      <w:numFmt w:val="lowerLetter"/>
      <w:lvlText w:val="%5."/>
      <w:lvlJc w:val="left"/>
      <w:pPr>
        <w:ind w:left="3600" w:hanging="360"/>
      </w:pPr>
    </w:lvl>
    <w:lvl w:ilvl="5" w:tplc="2D20B0EC">
      <w:start w:val="1"/>
      <w:numFmt w:val="lowerRoman"/>
      <w:lvlText w:val="%6."/>
      <w:lvlJc w:val="right"/>
      <w:pPr>
        <w:ind w:left="4320" w:hanging="180"/>
      </w:pPr>
    </w:lvl>
    <w:lvl w:ilvl="6" w:tplc="FCE45EB8">
      <w:start w:val="1"/>
      <w:numFmt w:val="decimal"/>
      <w:lvlText w:val="%7."/>
      <w:lvlJc w:val="left"/>
      <w:pPr>
        <w:ind w:left="5040" w:hanging="360"/>
      </w:pPr>
    </w:lvl>
    <w:lvl w:ilvl="7" w:tplc="3282EC50">
      <w:start w:val="1"/>
      <w:numFmt w:val="lowerLetter"/>
      <w:lvlText w:val="%8."/>
      <w:lvlJc w:val="left"/>
      <w:pPr>
        <w:ind w:left="5760" w:hanging="360"/>
      </w:pPr>
    </w:lvl>
    <w:lvl w:ilvl="8" w:tplc="67DA95DE">
      <w:start w:val="1"/>
      <w:numFmt w:val="lowerRoman"/>
      <w:lvlText w:val="%9."/>
      <w:lvlJc w:val="right"/>
      <w:pPr>
        <w:ind w:left="6480" w:hanging="180"/>
      </w:pPr>
    </w:lvl>
  </w:abstractNum>
  <w:abstractNum w:abstractNumId="3" w15:restartNumberingAfterBreak="0">
    <w:nsid w:val="1FB8D574"/>
    <w:multiLevelType w:val="hybridMultilevel"/>
    <w:tmpl w:val="45EA7C1E"/>
    <w:lvl w:ilvl="0" w:tplc="012C42A0">
      <w:start w:val="5"/>
      <w:numFmt w:val="decimal"/>
      <w:lvlText w:val="%1."/>
      <w:lvlJc w:val="left"/>
      <w:pPr>
        <w:ind w:left="720" w:hanging="360"/>
      </w:pPr>
    </w:lvl>
    <w:lvl w:ilvl="1" w:tplc="5AC49B76">
      <w:start w:val="1"/>
      <w:numFmt w:val="lowerLetter"/>
      <w:lvlText w:val="%2."/>
      <w:lvlJc w:val="left"/>
      <w:pPr>
        <w:ind w:left="1440" w:hanging="360"/>
      </w:pPr>
    </w:lvl>
    <w:lvl w:ilvl="2" w:tplc="6FDCC690">
      <w:start w:val="1"/>
      <w:numFmt w:val="lowerRoman"/>
      <w:lvlText w:val="%3."/>
      <w:lvlJc w:val="right"/>
      <w:pPr>
        <w:ind w:left="2160" w:hanging="180"/>
      </w:pPr>
    </w:lvl>
    <w:lvl w:ilvl="3" w:tplc="05921B60">
      <w:start w:val="1"/>
      <w:numFmt w:val="decimal"/>
      <w:lvlText w:val="%4."/>
      <w:lvlJc w:val="left"/>
      <w:pPr>
        <w:ind w:left="2880" w:hanging="360"/>
      </w:pPr>
    </w:lvl>
    <w:lvl w:ilvl="4" w:tplc="90ACAC18">
      <w:start w:val="1"/>
      <w:numFmt w:val="lowerLetter"/>
      <w:lvlText w:val="%5."/>
      <w:lvlJc w:val="left"/>
      <w:pPr>
        <w:ind w:left="3600" w:hanging="360"/>
      </w:pPr>
    </w:lvl>
    <w:lvl w:ilvl="5" w:tplc="C524A47E">
      <w:start w:val="1"/>
      <w:numFmt w:val="lowerRoman"/>
      <w:lvlText w:val="%6."/>
      <w:lvlJc w:val="right"/>
      <w:pPr>
        <w:ind w:left="4320" w:hanging="180"/>
      </w:pPr>
    </w:lvl>
    <w:lvl w:ilvl="6" w:tplc="285C9984">
      <w:start w:val="1"/>
      <w:numFmt w:val="decimal"/>
      <w:lvlText w:val="%7."/>
      <w:lvlJc w:val="left"/>
      <w:pPr>
        <w:ind w:left="5040" w:hanging="360"/>
      </w:pPr>
    </w:lvl>
    <w:lvl w:ilvl="7" w:tplc="0BC84EBA">
      <w:start w:val="1"/>
      <w:numFmt w:val="lowerLetter"/>
      <w:lvlText w:val="%8."/>
      <w:lvlJc w:val="left"/>
      <w:pPr>
        <w:ind w:left="5760" w:hanging="360"/>
      </w:pPr>
    </w:lvl>
    <w:lvl w:ilvl="8" w:tplc="C700D61A">
      <w:start w:val="1"/>
      <w:numFmt w:val="lowerRoman"/>
      <w:lvlText w:val="%9."/>
      <w:lvlJc w:val="right"/>
      <w:pPr>
        <w:ind w:left="6480" w:hanging="180"/>
      </w:pPr>
    </w:lvl>
  </w:abstractNum>
  <w:abstractNum w:abstractNumId="4" w15:restartNumberingAfterBreak="0">
    <w:nsid w:val="430DC337"/>
    <w:multiLevelType w:val="hybridMultilevel"/>
    <w:tmpl w:val="B7082F90"/>
    <w:lvl w:ilvl="0" w:tplc="386027E6">
      <w:start w:val="4"/>
      <w:numFmt w:val="decimal"/>
      <w:lvlText w:val="%1."/>
      <w:lvlJc w:val="left"/>
      <w:pPr>
        <w:ind w:left="720" w:hanging="360"/>
      </w:pPr>
    </w:lvl>
    <w:lvl w:ilvl="1" w:tplc="FE28C90A">
      <w:start w:val="1"/>
      <w:numFmt w:val="lowerLetter"/>
      <w:lvlText w:val="%2."/>
      <w:lvlJc w:val="left"/>
      <w:pPr>
        <w:ind w:left="1440" w:hanging="360"/>
      </w:pPr>
    </w:lvl>
    <w:lvl w:ilvl="2" w:tplc="3CE2FAC4">
      <w:start w:val="1"/>
      <w:numFmt w:val="lowerRoman"/>
      <w:lvlText w:val="%3."/>
      <w:lvlJc w:val="right"/>
      <w:pPr>
        <w:ind w:left="2160" w:hanging="180"/>
      </w:pPr>
    </w:lvl>
    <w:lvl w:ilvl="3" w:tplc="F9C49514">
      <w:start w:val="1"/>
      <w:numFmt w:val="decimal"/>
      <w:lvlText w:val="%4."/>
      <w:lvlJc w:val="left"/>
      <w:pPr>
        <w:ind w:left="2880" w:hanging="360"/>
      </w:pPr>
    </w:lvl>
    <w:lvl w:ilvl="4" w:tplc="B6CE8678">
      <w:start w:val="1"/>
      <w:numFmt w:val="lowerLetter"/>
      <w:lvlText w:val="%5."/>
      <w:lvlJc w:val="left"/>
      <w:pPr>
        <w:ind w:left="3600" w:hanging="360"/>
      </w:pPr>
    </w:lvl>
    <w:lvl w:ilvl="5" w:tplc="300E12AA">
      <w:start w:val="1"/>
      <w:numFmt w:val="lowerRoman"/>
      <w:lvlText w:val="%6."/>
      <w:lvlJc w:val="right"/>
      <w:pPr>
        <w:ind w:left="4320" w:hanging="180"/>
      </w:pPr>
    </w:lvl>
    <w:lvl w:ilvl="6" w:tplc="7EAE69D0">
      <w:start w:val="1"/>
      <w:numFmt w:val="decimal"/>
      <w:lvlText w:val="%7."/>
      <w:lvlJc w:val="left"/>
      <w:pPr>
        <w:ind w:left="5040" w:hanging="360"/>
      </w:pPr>
    </w:lvl>
    <w:lvl w:ilvl="7" w:tplc="C2D297FE">
      <w:start w:val="1"/>
      <w:numFmt w:val="lowerLetter"/>
      <w:lvlText w:val="%8."/>
      <w:lvlJc w:val="left"/>
      <w:pPr>
        <w:ind w:left="5760" w:hanging="360"/>
      </w:pPr>
    </w:lvl>
    <w:lvl w:ilvl="8" w:tplc="7C8A1DCC">
      <w:start w:val="1"/>
      <w:numFmt w:val="lowerRoman"/>
      <w:lvlText w:val="%9."/>
      <w:lvlJc w:val="right"/>
      <w:pPr>
        <w:ind w:left="6480" w:hanging="180"/>
      </w:pPr>
    </w:lvl>
  </w:abstractNum>
  <w:num w:numId="1" w16cid:durableId="2117483313">
    <w:abstractNumId w:val="3"/>
  </w:num>
  <w:num w:numId="2" w16cid:durableId="1083138429">
    <w:abstractNumId w:val="4"/>
  </w:num>
  <w:num w:numId="3" w16cid:durableId="776288338">
    <w:abstractNumId w:val="0"/>
  </w:num>
  <w:num w:numId="4" w16cid:durableId="1910727376">
    <w:abstractNumId w:val="2"/>
  </w:num>
  <w:num w:numId="5" w16cid:durableId="15642454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246"/>
    <w:rsid w:val="00011D59"/>
    <w:rsid w:val="0002129F"/>
    <w:rsid w:val="0003346F"/>
    <w:rsid w:val="00035269"/>
    <w:rsid w:val="0005045A"/>
    <w:rsid w:val="0005232C"/>
    <w:rsid w:val="000831ED"/>
    <w:rsid w:val="0008693A"/>
    <w:rsid w:val="000B1975"/>
    <w:rsid w:val="000D0A81"/>
    <w:rsid w:val="000D29B7"/>
    <w:rsid w:val="000E4170"/>
    <w:rsid w:val="000F8301"/>
    <w:rsid w:val="00100F11"/>
    <w:rsid w:val="00103A59"/>
    <w:rsid w:val="00140374"/>
    <w:rsid w:val="00142E2F"/>
    <w:rsid w:val="00157B8A"/>
    <w:rsid w:val="0017499A"/>
    <w:rsid w:val="001841F7"/>
    <w:rsid w:val="00190484"/>
    <w:rsid w:val="001971D5"/>
    <w:rsid w:val="001B7710"/>
    <w:rsid w:val="001B7B71"/>
    <w:rsid w:val="001C42AA"/>
    <w:rsid w:val="001E5D38"/>
    <w:rsid w:val="001E5FBC"/>
    <w:rsid w:val="001F207B"/>
    <w:rsid w:val="00212FB6"/>
    <w:rsid w:val="0021731C"/>
    <w:rsid w:val="002264ED"/>
    <w:rsid w:val="00230928"/>
    <w:rsid w:val="00233109"/>
    <w:rsid w:val="002520C6"/>
    <w:rsid w:val="00290506"/>
    <w:rsid w:val="002B0423"/>
    <w:rsid w:val="002E2112"/>
    <w:rsid w:val="002E5A51"/>
    <w:rsid w:val="002F1068"/>
    <w:rsid w:val="002F5246"/>
    <w:rsid w:val="00303535"/>
    <w:rsid w:val="00324DFC"/>
    <w:rsid w:val="003537BC"/>
    <w:rsid w:val="00364C35"/>
    <w:rsid w:val="00365FFD"/>
    <w:rsid w:val="003749E7"/>
    <w:rsid w:val="00377093"/>
    <w:rsid w:val="003B216E"/>
    <w:rsid w:val="004231CC"/>
    <w:rsid w:val="00443719"/>
    <w:rsid w:val="0044572B"/>
    <w:rsid w:val="00467EBB"/>
    <w:rsid w:val="004B4861"/>
    <w:rsid w:val="004D3549"/>
    <w:rsid w:val="004D48CC"/>
    <w:rsid w:val="004F1D17"/>
    <w:rsid w:val="00512C4A"/>
    <w:rsid w:val="005133D4"/>
    <w:rsid w:val="0051467D"/>
    <w:rsid w:val="00523369"/>
    <w:rsid w:val="00544425"/>
    <w:rsid w:val="00557820"/>
    <w:rsid w:val="005850BE"/>
    <w:rsid w:val="005A29CD"/>
    <w:rsid w:val="005A67EC"/>
    <w:rsid w:val="005B010B"/>
    <w:rsid w:val="005C0AAB"/>
    <w:rsid w:val="005C1FD2"/>
    <w:rsid w:val="005E075C"/>
    <w:rsid w:val="005F0EE3"/>
    <w:rsid w:val="005F2ADF"/>
    <w:rsid w:val="006167A7"/>
    <w:rsid w:val="00632C53"/>
    <w:rsid w:val="006330BD"/>
    <w:rsid w:val="0066384A"/>
    <w:rsid w:val="006B0334"/>
    <w:rsid w:val="006E069A"/>
    <w:rsid w:val="00772AF3"/>
    <w:rsid w:val="007A056C"/>
    <w:rsid w:val="007A7DAF"/>
    <w:rsid w:val="007B3A9F"/>
    <w:rsid w:val="007D0D53"/>
    <w:rsid w:val="007D54B1"/>
    <w:rsid w:val="007D7ED7"/>
    <w:rsid w:val="007E0E8C"/>
    <w:rsid w:val="007E2052"/>
    <w:rsid w:val="007F123E"/>
    <w:rsid w:val="0080170A"/>
    <w:rsid w:val="0082446A"/>
    <w:rsid w:val="00874765"/>
    <w:rsid w:val="0088023A"/>
    <w:rsid w:val="00882AA7"/>
    <w:rsid w:val="00890081"/>
    <w:rsid w:val="008960C0"/>
    <w:rsid w:val="008B19E3"/>
    <w:rsid w:val="008B24BC"/>
    <w:rsid w:val="008C5E4D"/>
    <w:rsid w:val="008D150F"/>
    <w:rsid w:val="008F73D2"/>
    <w:rsid w:val="00916F44"/>
    <w:rsid w:val="009623F3"/>
    <w:rsid w:val="00967C10"/>
    <w:rsid w:val="00975EE4"/>
    <w:rsid w:val="0098381E"/>
    <w:rsid w:val="009964D9"/>
    <w:rsid w:val="009A4CA9"/>
    <w:rsid w:val="009E6A26"/>
    <w:rsid w:val="00A12971"/>
    <w:rsid w:val="00A61652"/>
    <w:rsid w:val="00A77CE6"/>
    <w:rsid w:val="00A8364F"/>
    <w:rsid w:val="00A9646A"/>
    <w:rsid w:val="00AA48B6"/>
    <w:rsid w:val="00AB4768"/>
    <w:rsid w:val="00AE46F8"/>
    <w:rsid w:val="00B010F3"/>
    <w:rsid w:val="00B42696"/>
    <w:rsid w:val="00B45F3B"/>
    <w:rsid w:val="00B46ABE"/>
    <w:rsid w:val="00B515B4"/>
    <w:rsid w:val="00B56786"/>
    <w:rsid w:val="00B57F20"/>
    <w:rsid w:val="00B6099D"/>
    <w:rsid w:val="00B626B5"/>
    <w:rsid w:val="00B63C51"/>
    <w:rsid w:val="00B9227F"/>
    <w:rsid w:val="00BA1462"/>
    <w:rsid w:val="00BA6014"/>
    <w:rsid w:val="00BB2DE6"/>
    <w:rsid w:val="00BB7AF4"/>
    <w:rsid w:val="00C25C11"/>
    <w:rsid w:val="00C3249F"/>
    <w:rsid w:val="00C64085"/>
    <w:rsid w:val="00C80249"/>
    <w:rsid w:val="00CB33ED"/>
    <w:rsid w:val="00CD3797"/>
    <w:rsid w:val="00CF4BE9"/>
    <w:rsid w:val="00D044CE"/>
    <w:rsid w:val="00D20AE6"/>
    <w:rsid w:val="00D21926"/>
    <w:rsid w:val="00D26545"/>
    <w:rsid w:val="00D50FB7"/>
    <w:rsid w:val="00D77594"/>
    <w:rsid w:val="00D9615F"/>
    <w:rsid w:val="00DAB8C5"/>
    <w:rsid w:val="00DC4863"/>
    <w:rsid w:val="00DE13F8"/>
    <w:rsid w:val="00DE48EA"/>
    <w:rsid w:val="00DE5866"/>
    <w:rsid w:val="00E04581"/>
    <w:rsid w:val="00E06B20"/>
    <w:rsid w:val="00E133A7"/>
    <w:rsid w:val="00E2017B"/>
    <w:rsid w:val="00E33403"/>
    <w:rsid w:val="00E40434"/>
    <w:rsid w:val="00E82188"/>
    <w:rsid w:val="00E853EE"/>
    <w:rsid w:val="00EA1C9F"/>
    <w:rsid w:val="00EB4575"/>
    <w:rsid w:val="00ED4804"/>
    <w:rsid w:val="00EF5364"/>
    <w:rsid w:val="00EF7EF7"/>
    <w:rsid w:val="00F0722D"/>
    <w:rsid w:val="00F10D7B"/>
    <w:rsid w:val="00F3173B"/>
    <w:rsid w:val="00F66EB3"/>
    <w:rsid w:val="00F67EEE"/>
    <w:rsid w:val="00F7308F"/>
    <w:rsid w:val="00F76B8D"/>
    <w:rsid w:val="00F8401D"/>
    <w:rsid w:val="00FA523D"/>
    <w:rsid w:val="00FD40C0"/>
    <w:rsid w:val="018A0ADB"/>
    <w:rsid w:val="01A67050"/>
    <w:rsid w:val="01B1D13C"/>
    <w:rsid w:val="020EDD94"/>
    <w:rsid w:val="0229A8D1"/>
    <w:rsid w:val="024DA91F"/>
    <w:rsid w:val="03127F7F"/>
    <w:rsid w:val="031B220D"/>
    <w:rsid w:val="033A9B7B"/>
    <w:rsid w:val="036BAA91"/>
    <w:rsid w:val="03CF9823"/>
    <w:rsid w:val="03E6D191"/>
    <w:rsid w:val="04239F70"/>
    <w:rsid w:val="04268C1C"/>
    <w:rsid w:val="04686C1B"/>
    <w:rsid w:val="04CCC239"/>
    <w:rsid w:val="0520CFEC"/>
    <w:rsid w:val="065E5AAC"/>
    <w:rsid w:val="0686E3A6"/>
    <w:rsid w:val="069ECDDA"/>
    <w:rsid w:val="06BF425E"/>
    <w:rsid w:val="06F78DDB"/>
    <w:rsid w:val="076DC6B6"/>
    <w:rsid w:val="078E3838"/>
    <w:rsid w:val="07C2D556"/>
    <w:rsid w:val="07D64CB7"/>
    <w:rsid w:val="07E864A1"/>
    <w:rsid w:val="0800A4A7"/>
    <w:rsid w:val="083E4E24"/>
    <w:rsid w:val="0851ED6A"/>
    <w:rsid w:val="08B02F0B"/>
    <w:rsid w:val="095490FF"/>
    <w:rsid w:val="095FCE65"/>
    <w:rsid w:val="097EC6A1"/>
    <w:rsid w:val="099D1F11"/>
    <w:rsid w:val="09C07991"/>
    <w:rsid w:val="0A19C52B"/>
    <w:rsid w:val="0B002FFB"/>
    <w:rsid w:val="0B61B02E"/>
    <w:rsid w:val="0C3B854C"/>
    <w:rsid w:val="0C5CBE54"/>
    <w:rsid w:val="0CB7A2FF"/>
    <w:rsid w:val="0CBBB6C7"/>
    <w:rsid w:val="0CDC0E17"/>
    <w:rsid w:val="0CFA41D4"/>
    <w:rsid w:val="0E3D7835"/>
    <w:rsid w:val="0E6AC76C"/>
    <w:rsid w:val="0EC012B5"/>
    <w:rsid w:val="0F2282B4"/>
    <w:rsid w:val="0F64DB0D"/>
    <w:rsid w:val="0F7A3B59"/>
    <w:rsid w:val="0FBF540A"/>
    <w:rsid w:val="0FD35AD7"/>
    <w:rsid w:val="100C1DCD"/>
    <w:rsid w:val="10409D2F"/>
    <w:rsid w:val="1045BBE1"/>
    <w:rsid w:val="1055CB44"/>
    <w:rsid w:val="105B48FD"/>
    <w:rsid w:val="10B99F81"/>
    <w:rsid w:val="114FC052"/>
    <w:rsid w:val="1162AB56"/>
    <w:rsid w:val="11763E87"/>
    <w:rsid w:val="11B9A4B1"/>
    <w:rsid w:val="11DBADDD"/>
    <w:rsid w:val="120360EA"/>
    <w:rsid w:val="1390C227"/>
    <w:rsid w:val="13A598D2"/>
    <w:rsid w:val="13B77282"/>
    <w:rsid w:val="13BBE4BA"/>
    <w:rsid w:val="143B20BA"/>
    <w:rsid w:val="14B480EE"/>
    <w:rsid w:val="155B40EE"/>
    <w:rsid w:val="15783DE7"/>
    <w:rsid w:val="1591991A"/>
    <w:rsid w:val="15AA1ACD"/>
    <w:rsid w:val="15BA75AF"/>
    <w:rsid w:val="1756F922"/>
    <w:rsid w:val="17A6D316"/>
    <w:rsid w:val="185EE157"/>
    <w:rsid w:val="19118509"/>
    <w:rsid w:val="19250F71"/>
    <w:rsid w:val="19529CCF"/>
    <w:rsid w:val="19834D61"/>
    <w:rsid w:val="19BF73A9"/>
    <w:rsid w:val="1A095830"/>
    <w:rsid w:val="1A0BD435"/>
    <w:rsid w:val="1A162B97"/>
    <w:rsid w:val="1A3D096C"/>
    <w:rsid w:val="1A51D821"/>
    <w:rsid w:val="1AB17433"/>
    <w:rsid w:val="1AD61413"/>
    <w:rsid w:val="1AE2AF88"/>
    <w:rsid w:val="1B6E944D"/>
    <w:rsid w:val="1BBDCC60"/>
    <w:rsid w:val="1BCAE175"/>
    <w:rsid w:val="1BEE81AF"/>
    <w:rsid w:val="1C0D963D"/>
    <w:rsid w:val="1C6F2603"/>
    <w:rsid w:val="1CDAE9A3"/>
    <w:rsid w:val="1D186229"/>
    <w:rsid w:val="1D39F63E"/>
    <w:rsid w:val="1DB77A93"/>
    <w:rsid w:val="1DD3A814"/>
    <w:rsid w:val="1DE56D36"/>
    <w:rsid w:val="1E9CAD65"/>
    <w:rsid w:val="1EB8523D"/>
    <w:rsid w:val="1EBD3932"/>
    <w:rsid w:val="1F632216"/>
    <w:rsid w:val="1F93AB54"/>
    <w:rsid w:val="1F9B037F"/>
    <w:rsid w:val="1FA5A01C"/>
    <w:rsid w:val="1FD9B4BA"/>
    <w:rsid w:val="1FDD9F31"/>
    <w:rsid w:val="2013CB3D"/>
    <w:rsid w:val="202A122F"/>
    <w:rsid w:val="20447E1D"/>
    <w:rsid w:val="2094C3A6"/>
    <w:rsid w:val="20F2173B"/>
    <w:rsid w:val="20FEE41A"/>
    <w:rsid w:val="219C5AB9"/>
    <w:rsid w:val="2228BC71"/>
    <w:rsid w:val="22B62487"/>
    <w:rsid w:val="22DF1D73"/>
    <w:rsid w:val="22EAC358"/>
    <w:rsid w:val="23263AF7"/>
    <w:rsid w:val="234FEC6D"/>
    <w:rsid w:val="239CD254"/>
    <w:rsid w:val="24141EB2"/>
    <w:rsid w:val="24259194"/>
    <w:rsid w:val="244DE32C"/>
    <w:rsid w:val="24793EC6"/>
    <w:rsid w:val="249192B6"/>
    <w:rsid w:val="24B11DDA"/>
    <w:rsid w:val="24B732B4"/>
    <w:rsid w:val="254924C0"/>
    <w:rsid w:val="2571E2BB"/>
    <w:rsid w:val="25B01C33"/>
    <w:rsid w:val="275A4F10"/>
    <w:rsid w:val="278B3E39"/>
    <w:rsid w:val="27CC37AE"/>
    <w:rsid w:val="27DAA61A"/>
    <w:rsid w:val="27E03395"/>
    <w:rsid w:val="27E035DC"/>
    <w:rsid w:val="27F5356B"/>
    <w:rsid w:val="28495548"/>
    <w:rsid w:val="28E88517"/>
    <w:rsid w:val="28FD252C"/>
    <w:rsid w:val="29218A0D"/>
    <w:rsid w:val="292F547E"/>
    <w:rsid w:val="296C4CA5"/>
    <w:rsid w:val="2A059229"/>
    <w:rsid w:val="2A083840"/>
    <w:rsid w:val="2A6C2C8A"/>
    <w:rsid w:val="2A844C82"/>
    <w:rsid w:val="2A916ACB"/>
    <w:rsid w:val="2ABD371E"/>
    <w:rsid w:val="2B0BAEB1"/>
    <w:rsid w:val="2BE71872"/>
    <w:rsid w:val="2C86F264"/>
    <w:rsid w:val="2CEEA77B"/>
    <w:rsid w:val="2D4F3E88"/>
    <w:rsid w:val="2D9246BE"/>
    <w:rsid w:val="2DD04113"/>
    <w:rsid w:val="2E0D8EE1"/>
    <w:rsid w:val="2E0FBAC8"/>
    <w:rsid w:val="2E4242A7"/>
    <w:rsid w:val="2EF8B906"/>
    <w:rsid w:val="2F5B66A7"/>
    <w:rsid w:val="300AB7E7"/>
    <w:rsid w:val="3018DE17"/>
    <w:rsid w:val="305452E3"/>
    <w:rsid w:val="30B3AC36"/>
    <w:rsid w:val="30CAB617"/>
    <w:rsid w:val="3162041F"/>
    <w:rsid w:val="318C7E2D"/>
    <w:rsid w:val="31B077A8"/>
    <w:rsid w:val="31C24C8E"/>
    <w:rsid w:val="32119D00"/>
    <w:rsid w:val="3277D7C5"/>
    <w:rsid w:val="32C9AEA5"/>
    <w:rsid w:val="32F0EA40"/>
    <w:rsid w:val="338D00F2"/>
    <w:rsid w:val="3395AABD"/>
    <w:rsid w:val="33C64999"/>
    <w:rsid w:val="33D3745E"/>
    <w:rsid w:val="34A2AFAB"/>
    <w:rsid w:val="34DAB797"/>
    <w:rsid w:val="3504157E"/>
    <w:rsid w:val="35219661"/>
    <w:rsid w:val="3585F874"/>
    <w:rsid w:val="35A5EEF3"/>
    <w:rsid w:val="35BB6A31"/>
    <w:rsid w:val="35EE0FEB"/>
    <w:rsid w:val="37546A0A"/>
    <w:rsid w:val="378713FC"/>
    <w:rsid w:val="37AB7C44"/>
    <w:rsid w:val="37BD7BB5"/>
    <w:rsid w:val="37E46996"/>
    <w:rsid w:val="380E5C7D"/>
    <w:rsid w:val="38200978"/>
    <w:rsid w:val="3854D106"/>
    <w:rsid w:val="3889EF2E"/>
    <w:rsid w:val="389757D1"/>
    <w:rsid w:val="38B7470F"/>
    <w:rsid w:val="38BEB137"/>
    <w:rsid w:val="38C4353C"/>
    <w:rsid w:val="39E15824"/>
    <w:rsid w:val="3AD95B7F"/>
    <w:rsid w:val="3AE5B619"/>
    <w:rsid w:val="3B0A6203"/>
    <w:rsid w:val="3B0C67B4"/>
    <w:rsid w:val="3B78A061"/>
    <w:rsid w:val="3BB66616"/>
    <w:rsid w:val="3BB848D3"/>
    <w:rsid w:val="3BDA1A5E"/>
    <w:rsid w:val="3BF2C836"/>
    <w:rsid w:val="3C294015"/>
    <w:rsid w:val="3C3B6413"/>
    <w:rsid w:val="3CD9A8E8"/>
    <w:rsid w:val="3D5F4451"/>
    <w:rsid w:val="3DDD8663"/>
    <w:rsid w:val="3DE683EE"/>
    <w:rsid w:val="3EA4D2DE"/>
    <w:rsid w:val="3EC6FA80"/>
    <w:rsid w:val="3EDE2523"/>
    <w:rsid w:val="3EF142AA"/>
    <w:rsid w:val="3EF743EB"/>
    <w:rsid w:val="3F26723B"/>
    <w:rsid w:val="3FD6F390"/>
    <w:rsid w:val="3FDD19B2"/>
    <w:rsid w:val="4005CD00"/>
    <w:rsid w:val="40B4D81A"/>
    <w:rsid w:val="40F42074"/>
    <w:rsid w:val="411E8C4B"/>
    <w:rsid w:val="414A17D5"/>
    <w:rsid w:val="41BD804C"/>
    <w:rsid w:val="4216AFBF"/>
    <w:rsid w:val="421FC22E"/>
    <w:rsid w:val="423E8E8F"/>
    <w:rsid w:val="426A292E"/>
    <w:rsid w:val="4302E809"/>
    <w:rsid w:val="43591932"/>
    <w:rsid w:val="43FA436F"/>
    <w:rsid w:val="441583AE"/>
    <w:rsid w:val="44179239"/>
    <w:rsid w:val="442DF18B"/>
    <w:rsid w:val="4445F942"/>
    <w:rsid w:val="4449EBFD"/>
    <w:rsid w:val="444EFDA9"/>
    <w:rsid w:val="44761ABC"/>
    <w:rsid w:val="448F9DFE"/>
    <w:rsid w:val="44A8C616"/>
    <w:rsid w:val="44C9A7D5"/>
    <w:rsid w:val="44D35338"/>
    <w:rsid w:val="4530F02C"/>
    <w:rsid w:val="4550EF86"/>
    <w:rsid w:val="458D1C88"/>
    <w:rsid w:val="45BABE33"/>
    <w:rsid w:val="4618CB62"/>
    <w:rsid w:val="468C838C"/>
    <w:rsid w:val="469BFD3D"/>
    <w:rsid w:val="46AE289C"/>
    <w:rsid w:val="46B62AEE"/>
    <w:rsid w:val="46E3C162"/>
    <w:rsid w:val="46EB6753"/>
    <w:rsid w:val="46EF90D1"/>
    <w:rsid w:val="47163F43"/>
    <w:rsid w:val="471C4F36"/>
    <w:rsid w:val="477F2128"/>
    <w:rsid w:val="47A431C0"/>
    <w:rsid w:val="48136940"/>
    <w:rsid w:val="485685BA"/>
    <w:rsid w:val="48ACEE88"/>
    <w:rsid w:val="49C2CBA3"/>
    <w:rsid w:val="49E7A37A"/>
    <w:rsid w:val="49EB5EC1"/>
    <w:rsid w:val="4ADA6479"/>
    <w:rsid w:val="4AE0970B"/>
    <w:rsid w:val="4AF43F1B"/>
    <w:rsid w:val="4B5777BA"/>
    <w:rsid w:val="4B62203F"/>
    <w:rsid w:val="4B72FEB4"/>
    <w:rsid w:val="4BAE4666"/>
    <w:rsid w:val="4C22550F"/>
    <w:rsid w:val="4C504950"/>
    <w:rsid w:val="4C53B0D5"/>
    <w:rsid w:val="4C71FD19"/>
    <w:rsid w:val="4CC5F045"/>
    <w:rsid w:val="4DC5A9E5"/>
    <w:rsid w:val="4E2CA3B8"/>
    <w:rsid w:val="4E915390"/>
    <w:rsid w:val="4E9BF642"/>
    <w:rsid w:val="4EBE3A39"/>
    <w:rsid w:val="4EC108EC"/>
    <w:rsid w:val="4EE285B4"/>
    <w:rsid w:val="4EFBEC85"/>
    <w:rsid w:val="4F4DD5AA"/>
    <w:rsid w:val="4FA5237F"/>
    <w:rsid w:val="4FE5769A"/>
    <w:rsid w:val="5034C1DA"/>
    <w:rsid w:val="503FA26F"/>
    <w:rsid w:val="509E1C88"/>
    <w:rsid w:val="50CA3ADE"/>
    <w:rsid w:val="50D45DB8"/>
    <w:rsid w:val="50D7C8BC"/>
    <w:rsid w:val="50E4E06C"/>
    <w:rsid w:val="51501D52"/>
    <w:rsid w:val="517BAC9B"/>
    <w:rsid w:val="51A9612B"/>
    <w:rsid w:val="5224C5CE"/>
    <w:rsid w:val="5243D8EF"/>
    <w:rsid w:val="52AAA4B0"/>
    <w:rsid w:val="53217C32"/>
    <w:rsid w:val="53911640"/>
    <w:rsid w:val="53B1BE9D"/>
    <w:rsid w:val="53E857AF"/>
    <w:rsid w:val="5460C459"/>
    <w:rsid w:val="5462888D"/>
    <w:rsid w:val="54E9C676"/>
    <w:rsid w:val="54EEBCAC"/>
    <w:rsid w:val="551A12B5"/>
    <w:rsid w:val="551E0F4E"/>
    <w:rsid w:val="555C085E"/>
    <w:rsid w:val="5575F095"/>
    <w:rsid w:val="557FF9A7"/>
    <w:rsid w:val="5595B35D"/>
    <w:rsid w:val="561BF951"/>
    <w:rsid w:val="56221A96"/>
    <w:rsid w:val="5647BFD1"/>
    <w:rsid w:val="56487626"/>
    <w:rsid w:val="568AD5C1"/>
    <w:rsid w:val="56AF424C"/>
    <w:rsid w:val="56E2105E"/>
    <w:rsid w:val="573978CC"/>
    <w:rsid w:val="5769482F"/>
    <w:rsid w:val="577DFB05"/>
    <w:rsid w:val="57AC1DA5"/>
    <w:rsid w:val="57AEF634"/>
    <w:rsid w:val="580D5E58"/>
    <w:rsid w:val="581A5E75"/>
    <w:rsid w:val="582576CA"/>
    <w:rsid w:val="5836ED1B"/>
    <w:rsid w:val="588059A0"/>
    <w:rsid w:val="589E10CD"/>
    <w:rsid w:val="5938BFFF"/>
    <w:rsid w:val="59409C63"/>
    <w:rsid w:val="59442A3E"/>
    <w:rsid w:val="5970FC57"/>
    <w:rsid w:val="59A05FBD"/>
    <w:rsid w:val="59F39AE9"/>
    <w:rsid w:val="59F54043"/>
    <w:rsid w:val="5A484195"/>
    <w:rsid w:val="5A486084"/>
    <w:rsid w:val="5A6FBCA6"/>
    <w:rsid w:val="5AD290E5"/>
    <w:rsid w:val="5B0B0D86"/>
    <w:rsid w:val="5B204EE4"/>
    <w:rsid w:val="5B6BD86E"/>
    <w:rsid w:val="5BB26D6C"/>
    <w:rsid w:val="5C017AF6"/>
    <w:rsid w:val="5C0CCC80"/>
    <w:rsid w:val="5C186819"/>
    <w:rsid w:val="5C3BAD40"/>
    <w:rsid w:val="5C3BF9CD"/>
    <w:rsid w:val="5CD55734"/>
    <w:rsid w:val="5DA7814E"/>
    <w:rsid w:val="5DC4152E"/>
    <w:rsid w:val="5DE2555F"/>
    <w:rsid w:val="5E3ADAA4"/>
    <w:rsid w:val="5EEF7CDF"/>
    <w:rsid w:val="5F0A4CFC"/>
    <w:rsid w:val="5F0FDF46"/>
    <w:rsid w:val="5F1022B7"/>
    <w:rsid w:val="5FD0E8D6"/>
    <w:rsid w:val="60997C37"/>
    <w:rsid w:val="60F464FC"/>
    <w:rsid w:val="6133DE6E"/>
    <w:rsid w:val="61A23AE1"/>
    <w:rsid w:val="61F6C34D"/>
    <w:rsid w:val="62AC7786"/>
    <w:rsid w:val="62FBD88D"/>
    <w:rsid w:val="637F5219"/>
    <w:rsid w:val="63A28321"/>
    <w:rsid w:val="641568ED"/>
    <w:rsid w:val="6419A173"/>
    <w:rsid w:val="643AF453"/>
    <w:rsid w:val="647B682B"/>
    <w:rsid w:val="64855470"/>
    <w:rsid w:val="64B08CAF"/>
    <w:rsid w:val="64B19332"/>
    <w:rsid w:val="64C948E5"/>
    <w:rsid w:val="6532FF80"/>
    <w:rsid w:val="65951909"/>
    <w:rsid w:val="659E6DFC"/>
    <w:rsid w:val="65BCE29A"/>
    <w:rsid w:val="66451592"/>
    <w:rsid w:val="67853696"/>
    <w:rsid w:val="684A0E12"/>
    <w:rsid w:val="68A36579"/>
    <w:rsid w:val="690A1668"/>
    <w:rsid w:val="691425F0"/>
    <w:rsid w:val="69362FE8"/>
    <w:rsid w:val="696123A7"/>
    <w:rsid w:val="6A3F16BB"/>
    <w:rsid w:val="6A82EC52"/>
    <w:rsid w:val="6ABE2349"/>
    <w:rsid w:val="6B39AADA"/>
    <w:rsid w:val="6BAC2CE2"/>
    <w:rsid w:val="6C13D32A"/>
    <w:rsid w:val="6CA770B4"/>
    <w:rsid w:val="6CB7CC19"/>
    <w:rsid w:val="6D8A0EF1"/>
    <w:rsid w:val="6DD34394"/>
    <w:rsid w:val="6DF6BE6D"/>
    <w:rsid w:val="6F18328E"/>
    <w:rsid w:val="6FBA62B0"/>
    <w:rsid w:val="70181453"/>
    <w:rsid w:val="70B3B10D"/>
    <w:rsid w:val="70D0149B"/>
    <w:rsid w:val="70E4BC21"/>
    <w:rsid w:val="7102A366"/>
    <w:rsid w:val="713FE50E"/>
    <w:rsid w:val="7167EE47"/>
    <w:rsid w:val="717C792F"/>
    <w:rsid w:val="71B2DA8F"/>
    <w:rsid w:val="71BD1DE0"/>
    <w:rsid w:val="71E8BD7A"/>
    <w:rsid w:val="723A12BA"/>
    <w:rsid w:val="7252C7B3"/>
    <w:rsid w:val="72627529"/>
    <w:rsid w:val="726C8636"/>
    <w:rsid w:val="72A752DD"/>
    <w:rsid w:val="72F9C03B"/>
    <w:rsid w:val="72FFB173"/>
    <w:rsid w:val="730BE57A"/>
    <w:rsid w:val="736E9DAF"/>
    <w:rsid w:val="73B571A9"/>
    <w:rsid w:val="7401001F"/>
    <w:rsid w:val="74983BD7"/>
    <w:rsid w:val="74BDFC96"/>
    <w:rsid w:val="74C16B2B"/>
    <w:rsid w:val="74E4962C"/>
    <w:rsid w:val="756B975C"/>
    <w:rsid w:val="7594286C"/>
    <w:rsid w:val="75953D88"/>
    <w:rsid w:val="75FBB851"/>
    <w:rsid w:val="76A03500"/>
    <w:rsid w:val="76FA2ACE"/>
    <w:rsid w:val="773F0E05"/>
    <w:rsid w:val="77447107"/>
    <w:rsid w:val="7753E780"/>
    <w:rsid w:val="775F4B21"/>
    <w:rsid w:val="7793E625"/>
    <w:rsid w:val="781EA29C"/>
    <w:rsid w:val="78B00340"/>
    <w:rsid w:val="78BC53E6"/>
    <w:rsid w:val="7981527C"/>
    <w:rsid w:val="79B199E7"/>
    <w:rsid w:val="79F3F8B4"/>
    <w:rsid w:val="7ABFAD25"/>
    <w:rsid w:val="7B220003"/>
    <w:rsid w:val="7B3E1B93"/>
    <w:rsid w:val="7BFE1407"/>
    <w:rsid w:val="7C0D05BC"/>
    <w:rsid w:val="7C292CE4"/>
    <w:rsid w:val="7C3475D8"/>
    <w:rsid w:val="7C377DB8"/>
    <w:rsid w:val="7C57E189"/>
    <w:rsid w:val="7C70ACDF"/>
    <w:rsid w:val="7C8F5F36"/>
    <w:rsid w:val="7CD98DE1"/>
    <w:rsid w:val="7CE61F7D"/>
    <w:rsid w:val="7D18A102"/>
    <w:rsid w:val="7D9678F2"/>
    <w:rsid w:val="7D9DCAE2"/>
    <w:rsid w:val="7DC14525"/>
    <w:rsid w:val="7E0992A1"/>
    <w:rsid w:val="7E10A052"/>
    <w:rsid w:val="7ECA2A84"/>
    <w:rsid w:val="7EF3CB0E"/>
    <w:rsid w:val="7F7050B8"/>
    <w:rsid w:val="7F84BF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F4BACE"/>
  <w15:docId w15:val="{65CCE557-ABD4-4D69-9E0E-8B1F23BD0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line="240" w:lineRule="auto"/>
    </w:pPr>
  </w:style>
  <w:style w:type="paragraph" w:styleId="Revision">
    <w:name w:val="Revision"/>
    <w:hidden/>
    <w:uiPriority w:val="99"/>
    <w:semiHidden/>
    <w:rsid w:val="008B24BC"/>
    <w:pPr>
      <w:spacing w:line="240" w:lineRule="auto"/>
    </w:pPr>
  </w:style>
  <w:style w:type="character" w:styleId="CommentReference">
    <w:name w:val="annotation reference"/>
    <w:basedOn w:val="DefaultParagraphFont"/>
    <w:uiPriority w:val="99"/>
    <w:semiHidden/>
    <w:unhideWhenUsed/>
    <w:rsid w:val="0008693A"/>
    <w:rPr>
      <w:sz w:val="16"/>
      <w:szCs w:val="16"/>
    </w:rPr>
  </w:style>
  <w:style w:type="paragraph" w:styleId="CommentText">
    <w:name w:val="annotation text"/>
    <w:basedOn w:val="Normal"/>
    <w:link w:val="CommentTextChar"/>
    <w:uiPriority w:val="99"/>
    <w:unhideWhenUsed/>
    <w:rsid w:val="0008693A"/>
    <w:pPr>
      <w:spacing w:line="240" w:lineRule="auto"/>
    </w:pPr>
    <w:rPr>
      <w:sz w:val="20"/>
      <w:szCs w:val="20"/>
    </w:rPr>
  </w:style>
  <w:style w:type="character" w:customStyle="1" w:styleId="CommentTextChar">
    <w:name w:val="Comment Text Char"/>
    <w:basedOn w:val="DefaultParagraphFont"/>
    <w:link w:val="CommentText"/>
    <w:uiPriority w:val="99"/>
    <w:rsid w:val="0008693A"/>
    <w:rPr>
      <w:sz w:val="20"/>
      <w:szCs w:val="20"/>
    </w:rPr>
  </w:style>
  <w:style w:type="paragraph" w:styleId="CommentSubject">
    <w:name w:val="annotation subject"/>
    <w:basedOn w:val="CommentText"/>
    <w:next w:val="CommentText"/>
    <w:link w:val="CommentSubjectChar"/>
    <w:uiPriority w:val="99"/>
    <w:semiHidden/>
    <w:unhideWhenUsed/>
    <w:rsid w:val="0008693A"/>
    <w:rPr>
      <w:b/>
      <w:bCs/>
    </w:rPr>
  </w:style>
  <w:style w:type="character" w:customStyle="1" w:styleId="CommentSubjectChar">
    <w:name w:val="Comment Subject Char"/>
    <w:basedOn w:val="CommentTextChar"/>
    <w:link w:val="CommentSubject"/>
    <w:uiPriority w:val="99"/>
    <w:semiHidden/>
    <w:rsid w:val="0008693A"/>
    <w:rPr>
      <w:b/>
      <w:bCs/>
      <w:sz w:val="20"/>
      <w:szCs w:val="20"/>
    </w:rPr>
  </w:style>
  <w:style w:type="character" w:styleId="Mention">
    <w:name w:val="Mention"/>
    <w:basedOn w:val="DefaultParagraphFont"/>
    <w:uiPriority w:val="99"/>
    <w:unhideWhenUsed/>
    <w:rsid w:val="00DE5866"/>
    <w:rPr>
      <w:color w:val="2B579A"/>
      <w:shd w:val="clear" w:color="auto" w:fill="E1DFDD"/>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rsid w:val="00DE48EA"/>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DE48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45941">
      <w:bodyDiv w:val="1"/>
      <w:marLeft w:val="0"/>
      <w:marRight w:val="0"/>
      <w:marTop w:val="0"/>
      <w:marBottom w:val="0"/>
      <w:divBdr>
        <w:top w:val="none" w:sz="0" w:space="0" w:color="auto"/>
        <w:left w:val="none" w:sz="0" w:space="0" w:color="auto"/>
        <w:bottom w:val="none" w:sz="0" w:space="0" w:color="auto"/>
        <w:right w:val="none" w:sz="0" w:space="0" w:color="auto"/>
      </w:divBdr>
    </w:div>
    <w:div w:id="514609617">
      <w:bodyDiv w:val="1"/>
      <w:marLeft w:val="0"/>
      <w:marRight w:val="0"/>
      <w:marTop w:val="0"/>
      <w:marBottom w:val="0"/>
      <w:divBdr>
        <w:top w:val="none" w:sz="0" w:space="0" w:color="auto"/>
        <w:left w:val="none" w:sz="0" w:space="0" w:color="auto"/>
        <w:bottom w:val="none" w:sz="0" w:space="0" w:color="auto"/>
        <w:right w:val="none" w:sz="0" w:space="0" w:color="auto"/>
      </w:divBdr>
      <w:divsChild>
        <w:div w:id="994576418">
          <w:marLeft w:val="0"/>
          <w:marRight w:val="0"/>
          <w:marTop w:val="0"/>
          <w:marBottom w:val="0"/>
          <w:divBdr>
            <w:top w:val="none" w:sz="0" w:space="0" w:color="auto"/>
            <w:left w:val="none" w:sz="0" w:space="0" w:color="auto"/>
            <w:bottom w:val="none" w:sz="0" w:space="0" w:color="auto"/>
            <w:right w:val="none" w:sz="0" w:space="0" w:color="auto"/>
          </w:divBdr>
        </w:div>
        <w:div w:id="212234028">
          <w:marLeft w:val="0"/>
          <w:marRight w:val="0"/>
          <w:marTop w:val="0"/>
          <w:marBottom w:val="0"/>
          <w:divBdr>
            <w:top w:val="none" w:sz="0" w:space="0" w:color="auto"/>
            <w:left w:val="none" w:sz="0" w:space="0" w:color="auto"/>
            <w:bottom w:val="none" w:sz="0" w:space="0" w:color="auto"/>
            <w:right w:val="none" w:sz="0" w:space="0" w:color="auto"/>
          </w:divBdr>
        </w:div>
        <w:div w:id="262537972">
          <w:marLeft w:val="0"/>
          <w:marRight w:val="0"/>
          <w:marTop w:val="0"/>
          <w:marBottom w:val="0"/>
          <w:divBdr>
            <w:top w:val="none" w:sz="0" w:space="0" w:color="auto"/>
            <w:left w:val="none" w:sz="0" w:space="0" w:color="auto"/>
            <w:bottom w:val="none" w:sz="0" w:space="0" w:color="auto"/>
            <w:right w:val="none" w:sz="0" w:space="0" w:color="auto"/>
          </w:divBdr>
        </w:div>
        <w:div w:id="1311400599">
          <w:marLeft w:val="0"/>
          <w:marRight w:val="0"/>
          <w:marTop w:val="0"/>
          <w:marBottom w:val="0"/>
          <w:divBdr>
            <w:top w:val="none" w:sz="0" w:space="0" w:color="auto"/>
            <w:left w:val="none" w:sz="0" w:space="0" w:color="auto"/>
            <w:bottom w:val="none" w:sz="0" w:space="0" w:color="auto"/>
            <w:right w:val="none" w:sz="0" w:space="0" w:color="auto"/>
          </w:divBdr>
        </w:div>
        <w:div w:id="1882278355">
          <w:marLeft w:val="0"/>
          <w:marRight w:val="0"/>
          <w:marTop w:val="0"/>
          <w:marBottom w:val="0"/>
          <w:divBdr>
            <w:top w:val="none" w:sz="0" w:space="0" w:color="auto"/>
            <w:left w:val="none" w:sz="0" w:space="0" w:color="auto"/>
            <w:bottom w:val="none" w:sz="0" w:space="0" w:color="auto"/>
            <w:right w:val="none" w:sz="0" w:space="0" w:color="auto"/>
          </w:divBdr>
        </w:div>
        <w:div w:id="1140077190">
          <w:marLeft w:val="0"/>
          <w:marRight w:val="0"/>
          <w:marTop w:val="0"/>
          <w:marBottom w:val="0"/>
          <w:divBdr>
            <w:top w:val="none" w:sz="0" w:space="0" w:color="auto"/>
            <w:left w:val="none" w:sz="0" w:space="0" w:color="auto"/>
            <w:bottom w:val="none" w:sz="0" w:space="0" w:color="auto"/>
            <w:right w:val="none" w:sz="0" w:space="0" w:color="auto"/>
          </w:divBdr>
        </w:div>
        <w:div w:id="1327243997">
          <w:marLeft w:val="0"/>
          <w:marRight w:val="0"/>
          <w:marTop w:val="0"/>
          <w:marBottom w:val="0"/>
          <w:divBdr>
            <w:top w:val="none" w:sz="0" w:space="0" w:color="auto"/>
            <w:left w:val="none" w:sz="0" w:space="0" w:color="auto"/>
            <w:bottom w:val="none" w:sz="0" w:space="0" w:color="auto"/>
            <w:right w:val="none" w:sz="0" w:space="0" w:color="auto"/>
          </w:divBdr>
        </w:div>
        <w:div w:id="186481525">
          <w:marLeft w:val="0"/>
          <w:marRight w:val="0"/>
          <w:marTop w:val="0"/>
          <w:marBottom w:val="0"/>
          <w:divBdr>
            <w:top w:val="none" w:sz="0" w:space="0" w:color="auto"/>
            <w:left w:val="none" w:sz="0" w:space="0" w:color="auto"/>
            <w:bottom w:val="none" w:sz="0" w:space="0" w:color="auto"/>
            <w:right w:val="none" w:sz="0" w:space="0" w:color="auto"/>
          </w:divBdr>
        </w:div>
        <w:div w:id="1985964779">
          <w:marLeft w:val="0"/>
          <w:marRight w:val="0"/>
          <w:marTop w:val="0"/>
          <w:marBottom w:val="0"/>
          <w:divBdr>
            <w:top w:val="none" w:sz="0" w:space="0" w:color="auto"/>
            <w:left w:val="none" w:sz="0" w:space="0" w:color="auto"/>
            <w:bottom w:val="none" w:sz="0" w:space="0" w:color="auto"/>
            <w:right w:val="none" w:sz="0" w:space="0" w:color="auto"/>
          </w:divBdr>
        </w:div>
        <w:div w:id="1938561538">
          <w:marLeft w:val="0"/>
          <w:marRight w:val="0"/>
          <w:marTop w:val="0"/>
          <w:marBottom w:val="0"/>
          <w:divBdr>
            <w:top w:val="none" w:sz="0" w:space="0" w:color="auto"/>
            <w:left w:val="none" w:sz="0" w:space="0" w:color="auto"/>
            <w:bottom w:val="none" w:sz="0" w:space="0" w:color="auto"/>
            <w:right w:val="none" w:sz="0" w:space="0" w:color="auto"/>
          </w:divBdr>
        </w:div>
        <w:div w:id="1109547240">
          <w:marLeft w:val="0"/>
          <w:marRight w:val="0"/>
          <w:marTop w:val="0"/>
          <w:marBottom w:val="0"/>
          <w:divBdr>
            <w:top w:val="none" w:sz="0" w:space="0" w:color="auto"/>
            <w:left w:val="none" w:sz="0" w:space="0" w:color="auto"/>
            <w:bottom w:val="none" w:sz="0" w:space="0" w:color="auto"/>
            <w:right w:val="none" w:sz="0" w:space="0" w:color="auto"/>
          </w:divBdr>
        </w:div>
        <w:div w:id="1693726693">
          <w:marLeft w:val="0"/>
          <w:marRight w:val="0"/>
          <w:marTop w:val="0"/>
          <w:marBottom w:val="0"/>
          <w:divBdr>
            <w:top w:val="none" w:sz="0" w:space="0" w:color="auto"/>
            <w:left w:val="none" w:sz="0" w:space="0" w:color="auto"/>
            <w:bottom w:val="none" w:sz="0" w:space="0" w:color="auto"/>
            <w:right w:val="none" w:sz="0" w:space="0" w:color="auto"/>
          </w:divBdr>
        </w:div>
        <w:div w:id="1435132009">
          <w:marLeft w:val="0"/>
          <w:marRight w:val="0"/>
          <w:marTop w:val="0"/>
          <w:marBottom w:val="0"/>
          <w:divBdr>
            <w:top w:val="none" w:sz="0" w:space="0" w:color="auto"/>
            <w:left w:val="none" w:sz="0" w:space="0" w:color="auto"/>
            <w:bottom w:val="none" w:sz="0" w:space="0" w:color="auto"/>
            <w:right w:val="none" w:sz="0" w:space="0" w:color="auto"/>
          </w:divBdr>
        </w:div>
        <w:div w:id="1012217528">
          <w:marLeft w:val="0"/>
          <w:marRight w:val="0"/>
          <w:marTop w:val="0"/>
          <w:marBottom w:val="0"/>
          <w:divBdr>
            <w:top w:val="none" w:sz="0" w:space="0" w:color="auto"/>
            <w:left w:val="none" w:sz="0" w:space="0" w:color="auto"/>
            <w:bottom w:val="none" w:sz="0" w:space="0" w:color="auto"/>
            <w:right w:val="none" w:sz="0" w:space="0" w:color="auto"/>
          </w:divBdr>
        </w:div>
        <w:div w:id="1005329975">
          <w:marLeft w:val="0"/>
          <w:marRight w:val="0"/>
          <w:marTop w:val="0"/>
          <w:marBottom w:val="0"/>
          <w:divBdr>
            <w:top w:val="none" w:sz="0" w:space="0" w:color="auto"/>
            <w:left w:val="none" w:sz="0" w:space="0" w:color="auto"/>
            <w:bottom w:val="none" w:sz="0" w:space="0" w:color="auto"/>
            <w:right w:val="none" w:sz="0" w:space="0" w:color="auto"/>
          </w:divBdr>
        </w:div>
        <w:div w:id="1063144441">
          <w:marLeft w:val="0"/>
          <w:marRight w:val="0"/>
          <w:marTop w:val="0"/>
          <w:marBottom w:val="0"/>
          <w:divBdr>
            <w:top w:val="none" w:sz="0" w:space="0" w:color="auto"/>
            <w:left w:val="none" w:sz="0" w:space="0" w:color="auto"/>
            <w:bottom w:val="none" w:sz="0" w:space="0" w:color="auto"/>
            <w:right w:val="none" w:sz="0" w:space="0" w:color="auto"/>
          </w:divBdr>
        </w:div>
        <w:div w:id="499470819">
          <w:marLeft w:val="0"/>
          <w:marRight w:val="0"/>
          <w:marTop w:val="0"/>
          <w:marBottom w:val="0"/>
          <w:divBdr>
            <w:top w:val="none" w:sz="0" w:space="0" w:color="auto"/>
            <w:left w:val="none" w:sz="0" w:space="0" w:color="auto"/>
            <w:bottom w:val="none" w:sz="0" w:space="0" w:color="auto"/>
            <w:right w:val="none" w:sz="0" w:space="0" w:color="auto"/>
          </w:divBdr>
        </w:div>
        <w:div w:id="224029244">
          <w:marLeft w:val="0"/>
          <w:marRight w:val="0"/>
          <w:marTop w:val="0"/>
          <w:marBottom w:val="0"/>
          <w:divBdr>
            <w:top w:val="none" w:sz="0" w:space="0" w:color="auto"/>
            <w:left w:val="none" w:sz="0" w:space="0" w:color="auto"/>
            <w:bottom w:val="none" w:sz="0" w:space="0" w:color="auto"/>
            <w:right w:val="none" w:sz="0" w:space="0" w:color="auto"/>
          </w:divBdr>
        </w:div>
        <w:div w:id="838540133">
          <w:marLeft w:val="0"/>
          <w:marRight w:val="0"/>
          <w:marTop w:val="0"/>
          <w:marBottom w:val="0"/>
          <w:divBdr>
            <w:top w:val="none" w:sz="0" w:space="0" w:color="auto"/>
            <w:left w:val="none" w:sz="0" w:space="0" w:color="auto"/>
            <w:bottom w:val="none" w:sz="0" w:space="0" w:color="auto"/>
            <w:right w:val="none" w:sz="0" w:space="0" w:color="auto"/>
          </w:divBdr>
        </w:div>
        <w:div w:id="2053309913">
          <w:marLeft w:val="0"/>
          <w:marRight w:val="0"/>
          <w:marTop w:val="0"/>
          <w:marBottom w:val="0"/>
          <w:divBdr>
            <w:top w:val="none" w:sz="0" w:space="0" w:color="auto"/>
            <w:left w:val="none" w:sz="0" w:space="0" w:color="auto"/>
            <w:bottom w:val="none" w:sz="0" w:space="0" w:color="auto"/>
            <w:right w:val="none" w:sz="0" w:space="0" w:color="auto"/>
          </w:divBdr>
        </w:div>
        <w:div w:id="1287658465">
          <w:marLeft w:val="0"/>
          <w:marRight w:val="0"/>
          <w:marTop w:val="0"/>
          <w:marBottom w:val="0"/>
          <w:divBdr>
            <w:top w:val="none" w:sz="0" w:space="0" w:color="auto"/>
            <w:left w:val="none" w:sz="0" w:space="0" w:color="auto"/>
            <w:bottom w:val="none" w:sz="0" w:space="0" w:color="auto"/>
            <w:right w:val="none" w:sz="0" w:space="0" w:color="auto"/>
          </w:divBdr>
        </w:div>
        <w:div w:id="677149880">
          <w:marLeft w:val="0"/>
          <w:marRight w:val="0"/>
          <w:marTop w:val="0"/>
          <w:marBottom w:val="0"/>
          <w:divBdr>
            <w:top w:val="none" w:sz="0" w:space="0" w:color="auto"/>
            <w:left w:val="none" w:sz="0" w:space="0" w:color="auto"/>
            <w:bottom w:val="none" w:sz="0" w:space="0" w:color="auto"/>
            <w:right w:val="none" w:sz="0" w:space="0" w:color="auto"/>
          </w:divBdr>
        </w:div>
        <w:div w:id="976301443">
          <w:marLeft w:val="0"/>
          <w:marRight w:val="0"/>
          <w:marTop w:val="0"/>
          <w:marBottom w:val="0"/>
          <w:divBdr>
            <w:top w:val="none" w:sz="0" w:space="0" w:color="auto"/>
            <w:left w:val="none" w:sz="0" w:space="0" w:color="auto"/>
            <w:bottom w:val="none" w:sz="0" w:space="0" w:color="auto"/>
            <w:right w:val="none" w:sz="0" w:space="0" w:color="auto"/>
          </w:divBdr>
        </w:div>
        <w:div w:id="110906469">
          <w:marLeft w:val="0"/>
          <w:marRight w:val="0"/>
          <w:marTop w:val="0"/>
          <w:marBottom w:val="0"/>
          <w:divBdr>
            <w:top w:val="none" w:sz="0" w:space="0" w:color="auto"/>
            <w:left w:val="none" w:sz="0" w:space="0" w:color="auto"/>
            <w:bottom w:val="none" w:sz="0" w:space="0" w:color="auto"/>
            <w:right w:val="none" w:sz="0" w:space="0" w:color="auto"/>
          </w:divBdr>
        </w:div>
        <w:div w:id="1381978597">
          <w:marLeft w:val="0"/>
          <w:marRight w:val="0"/>
          <w:marTop w:val="0"/>
          <w:marBottom w:val="0"/>
          <w:divBdr>
            <w:top w:val="none" w:sz="0" w:space="0" w:color="auto"/>
            <w:left w:val="none" w:sz="0" w:space="0" w:color="auto"/>
            <w:bottom w:val="none" w:sz="0" w:space="0" w:color="auto"/>
            <w:right w:val="none" w:sz="0" w:space="0" w:color="auto"/>
          </w:divBdr>
        </w:div>
        <w:div w:id="1668708126">
          <w:marLeft w:val="0"/>
          <w:marRight w:val="0"/>
          <w:marTop w:val="0"/>
          <w:marBottom w:val="0"/>
          <w:divBdr>
            <w:top w:val="none" w:sz="0" w:space="0" w:color="auto"/>
            <w:left w:val="none" w:sz="0" w:space="0" w:color="auto"/>
            <w:bottom w:val="none" w:sz="0" w:space="0" w:color="auto"/>
            <w:right w:val="none" w:sz="0" w:space="0" w:color="auto"/>
          </w:divBdr>
        </w:div>
        <w:div w:id="1808470506">
          <w:marLeft w:val="0"/>
          <w:marRight w:val="0"/>
          <w:marTop w:val="0"/>
          <w:marBottom w:val="0"/>
          <w:divBdr>
            <w:top w:val="none" w:sz="0" w:space="0" w:color="auto"/>
            <w:left w:val="none" w:sz="0" w:space="0" w:color="auto"/>
            <w:bottom w:val="none" w:sz="0" w:space="0" w:color="auto"/>
            <w:right w:val="none" w:sz="0" w:space="0" w:color="auto"/>
          </w:divBdr>
        </w:div>
        <w:div w:id="1096707180">
          <w:marLeft w:val="0"/>
          <w:marRight w:val="0"/>
          <w:marTop w:val="0"/>
          <w:marBottom w:val="0"/>
          <w:divBdr>
            <w:top w:val="none" w:sz="0" w:space="0" w:color="auto"/>
            <w:left w:val="none" w:sz="0" w:space="0" w:color="auto"/>
            <w:bottom w:val="none" w:sz="0" w:space="0" w:color="auto"/>
            <w:right w:val="none" w:sz="0" w:space="0" w:color="auto"/>
          </w:divBdr>
        </w:div>
        <w:div w:id="372311014">
          <w:marLeft w:val="0"/>
          <w:marRight w:val="0"/>
          <w:marTop w:val="0"/>
          <w:marBottom w:val="0"/>
          <w:divBdr>
            <w:top w:val="none" w:sz="0" w:space="0" w:color="auto"/>
            <w:left w:val="none" w:sz="0" w:space="0" w:color="auto"/>
            <w:bottom w:val="none" w:sz="0" w:space="0" w:color="auto"/>
            <w:right w:val="none" w:sz="0" w:space="0" w:color="auto"/>
          </w:divBdr>
        </w:div>
        <w:div w:id="217514596">
          <w:marLeft w:val="0"/>
          <w:marRight w:val="0"/>
          <w:marTop w:val="0"/>
          <w:marBottom w:val="0"/>
          <w:divBdr>
            <w:top w:val="none" w:sz="0" w:space="0" w:color="auto"/>
            <w:left w:val="none" w:sz="0" w:space="0" w:color="auto"/>
            <w:bottom w:val="none" w:sz="0" w:space="0" w:color="auto"/>
            <w:right w:val="none" w:sz="0" w:space="0" w:color="auto"/>
          </w:divBdr>
        </w:div>
        <w:div w:id="813911385">
          <w:marLeft w:val="0"/>
          <w:marRight w:val="0"/>
          <w:marTop w:val="0"/>
          <w:marBottom w:val="0"/>
          <w:divBdr>
            <w:top w:val="none" w:sz="0" w:space="0" w:color="auto"/>
            <w:left w:val="none" w:sz="0" w:space="0" w:color="auto"/>
            <w:bottom w:val="none" w:sz="0" w:space="0" w:color="auto"/>
            <w:right w:val="none" w:sz="0" w:space="0" w:color="auto"/>
          </w:divBdr>
        </w:div>
        <w:div w:id="1972008936">
          <w:marLeft w:val="0"/>
          <w:marRight w:val="0"/>
          <w:marTop w:val="0"/>
          <w:marBottom w:val="0"/>
          <w:divBdr>
            <w:top w:val="none" w:sz="0" w:space="0" w:color="auto"/>
            <w:left w:val="none" w:sz="0" w:space="0" w:color="auto"/>
            <w:bottom w:val="none" w:sz="0" w:space="0" w:color="auto"/>
            <w:right w:val="none" w:sz="0" w:space="0" w:color="auto"/>
          </w:divBdr>
        </w:div>
      </w:divsChild>
    </w:div>
    <w:div w:id="823349578">
      <w:bodyDiv w:val="1"/>
      <w:marLeft w:val="0"/>
      <w:marRight w:val="0"/>
      <w:marTop w:val="0"/>
      <w:marBottom w:val="0"/>
      <w:divBdr>
        <w:top w:val="none" w:sz="0" w:space="0" w:color="auto"/>
        <w:left w:val="none" w:sz="0" w:space="0" w:color="auto"/>
        <w:bottom w:val="none" w:sz="0" w:space="0" w:color="auto"/>
        <w:right w:val="none" w:sz="0" w:space="0" w:color="auto"/>
      </w:divBdr>
    </w:div>
    <w:div w:id="906308385">
      <w:bodyDiv w:val="1"/>
      <w:marLeft w:val="0"/>
      <w:marRight w:val="0"/>
      <w:marTop w:val="0"/>
      <w:marBottom w:val="0"/>
      <w:divBdr>
        <w:top w:val="none" w:sz="0" w:space="0" w:color="auto"/>
        <w:left w:val="none" w:sz="0" w:space="0" w:color="auto"/>
        <w:bottom w:val="none" w:sz="0" w:space="0" w:color="auto"/>
        <w:right w:val="none" w:sz="0" w:space="0" w:color="auto"/>
      </w:divBdr>
    </w:div>
    <w:div w:id="1075470935">
      <w:bodyDiv w:val="1"/>
      <w:marLeft w:val="0"/>
      <w:marRight w:val="0"/>
      <w:marTop w:val="0"/>
      <w:marBottom w:val="0"/>
      <w:divBdr>
        <w:top w:val="none" w:sz="0" w:space="0" w:color="auto"/>
        <w:left w:val="none" w:sz="0" w:space="0" w:color="auto"/>
        <w:bottom w:val="none" w:sz="0" w:space="0" w:color="auto"/>
        <w:right w:val="none" w:sz="0" w:space="0" w:color="auto"/>
      </w:divBdr>
    </w:div>
    <w:div w:id="1403874107">
      <w:bodyDiv w:val="1"/>
      <w:marLeft w:val="0"/>
      <w:marRight w:val="0"/>
      <w:marTop w:val="0"/>
      <w:marBottom w:val="0"/>
      <w:divBdr>
        <w:top w:val="none" w:sz="0" w:space="0" w:color="auto"/>
        <w:left w:val="none" w:sz="0" w:space="0" w:color="auto"/>
        <w:bottom w:val="none" w:sz="0" w:space="0" w:color="auto"/>
        <w:right w:val="none" w:sz="0" w:space="0" w:color="auto"/>
      </w:divBdr>
    </w:div>
    <w:div w:id="1723021347">
      <w:bodyDiv w:val="1"/>
      <w:marLeft w:val="0"/>
      <w:marRight w:val="0"/>
      <w:marTop w:val="0"/>
      <w:marBottom w:val="0"/>
      <w:divBdr>
        <w:top w:val="none" w:sz="0" w:space="0" w:color="auto"/>
        <w:left w:val="none" w:sz="0" w:space="0" w:color="auto"/>
        <w:bottom w:val="none" w:sz="0" w:space="0" w:color="auto"/>
        <w:right w:val="none" w:sz="0" w:space="0" w:color="auto"/>
      </w:divBdr>
    </w:div>
    <w:div w:id="1739789309">
      <w:bodyDiv w:val="1"/>
      <w:marLeft w:val="0"/>
      <w:marRight w:val="0"/>
      <w:marTop w:val="0"/>
      <w:marBottom w:val="0"/>
      <w:divBdr>
        <w:top w:val="none" w:sz="0" w:space="0" w:color="auto"/>
        <w:left w:val="none" w:sz="0" w:space="0" w:color="auto"/>
        <w:bottom w:val="none" w:sz="0" w:space="0" w:color="auto"/>
        <w:right w:val="none" w:sz="0" w:space="0" w:color="auto"/>
      </w:divBdr>
    </w:div>
    <w:div w:id="1916426895">
      <w:bodyDiv w:val="1"/>
      <w:marLeft w:val="0"/>
      <w:marRight w:val="0"/>
      <w:marTop w:val="0"/>
      <w:marBottom w:val="0"/>
      <w:divBdr>
        <w:top w:val="none" w:sz="0" w:space="0" w:color="auto"/>
        <w:left w:val="none" w:sz="0" w:space="0" w:color="auto"/>
        <w:bottom w:val="none" w:sz="0" w:space="0" w:color="auto"/>
        <w:right w:val="none" w:sz="0" w:space="0" w:color="auto"/>
      </w:divBdr>
      <w:divsChild>
        <w:div w:id="1186404498">
          <w:marLeft w:val="0"/>
          <w:marRight w:val="0"/>
          <w:marTop w:val="0"/>
          <w:marBottom w:val="0"/>
          <w:divBdr>
            <w:top w:val="none" w:sz="0" w:space="0" w:color="auto"/>
            <w:left w:val="none" w:sz="0" w:space="0" w:color="auto"/>
            <w:bottom w:val="none" w:sz="0" w:space="0" w:color="auto"/>
            <w:right w:val="none" w:sz="0" w:space="0" w:color="auto"/>
          </w:divBdr>
        </w:div>
        <w:div w:id="391928672">
          <w:marLeft w:val="0"/>
          <w:marRight w:val="0"/>
          <w:marTop w:val="0"/>
          <w:marBottom w:val="0"/>
          <w:divBdr>
            <w:top w:val="none" w:sz="0" w:space="0" w:color="auto"/>
            <w:left w:val="none" w:sz="0" w:space="0" w:color="auto"/>
            <w:bottom w:val="none" w:sz="0" w:space="0" w:color="auto"/>
            <w:right w:val="none" w:sz="0" w:space="0" w:color="auto"/>
          </w:divBdr>
        </w:div>
        <w:div w:id="653216137">
          <w:marLeft w:val="0"/>
          <w:marRight w:val="0"/>
          <w:marTop w:val="0"/>
          <w:marBottom w:val="0"/>
          <w:divBdr>
            <w:top w:val="none" w:sz="0" w:space="0" w:color="auto"/>
            <w:left w:val="none" w:sz="0" w:space="0" w:color="auto"/>
            <w:bottom w:val="none" w:sz="0" w:space="0" w:color="auto"/>
            <w:right w:val="none" w:sz="0" w:space="0" w:color="auto"/>
          </w:divBdr>
        </w:div>
        <w:div w:id="414858557">
          <w:marLeft w:val="0"/>
          <w:marRight w:val="0"/>
          <w:marTop w:val="0"/>
          <w:marBottom w:val="0"/>
          <w:divBdr>
            <w:top w:val="none" w:sz="0" w:space="0" w:color="auto"/>
            <w:left w:val="none" w:sz="0" w:space="0" w:color="auto"/>
            <w:bottom w:val="none" w:sz="0" w:space="0" w:color="auto"/>
            <w:right w:val="none" w:sz="0" w:space="0" w:color="auto"/>
          </w:divBdr>
        </w:div>
        <w:div w:id="1430470246">
          <w:marLeft w:val="0"/>
          <w:marRight w:val="0"/>
          <w:marTop w:val="0"/>
          <w:marBottom w:val="0"/>
          <w:divBdr>
            <w:top w:val="none" w:sz="0" w:space="0" w:color="auto"/>
            <w:left w:val="none" w:sz="0" w:space="0" w:color="auto"/>
            <w:bottom w:val="none" w:sz="0" w:space="0" w:color="auto"/>
            <w:right w:val="none" w:sz="0" w:space="0" w:color="auto"/>
          </w:divBdr>
        </w:div>
        <w:div w:id="1632907078">
          <w:marLeft w:val="0"/>
          <w:marRight w:val="0"/>
          <w:marTop w:val="0"/>
          <w:marBottom w:val="0"/>
          <w:divBdr>
            <w:top w:val="none" w:sz="0" w:space="0" w:color="auto"/>
            <w:left w:val="none" w:sz="0" w:space="0" w:color="auto"/>
            <w:bottom w:val="none" w:sz="0" w:space="0" w:color="auto"/>
            <w:right w:val="none" w:sz="0" w:space="0" w:color="auto"/>
          </w:divBdr>
        </w:div>
        <w:div w:id="496579379">
          <w:marLeft w:val="0"/>
          <w:marRight w:val="0"/>
          <w:marTop w:val="0"/>
          <w:marBottom w:val="0"/>
          <w:divBdr>
            <w:top w:val="none" w:sz="0" w:space="0" w:color="auto"/>
            <w:left w:val="none" w:sz="0" w:space="0" w:color="auto"/>
            <w:bottom w:val="none" w:sz="0" w:space="0" w:color="auto"/>
            <w:right w:val="none" w:sz="0" w:space="0" w:color="auto"/>
          </w:divBdr>
        </w:div>
        <w:div w:id="968515113">
          <w:marLeft w:val="0"/>
          <w:marRight w:val="0"/>
          <w:marTop w:val="0"/>
          <w:marBottom w:val="0"/>
          <w:divBdr>
            <w:top w:val="none" w:sz="0" w:space="0" w:color="auto"/>
            <w:left w:val="none" w:sz="0" w:space="0" w:color="auto"/>
            <w:bottom w:val="none" w:sz="0" w:space="0" w:color="auto"/>
            <w:right w:val="none" w:sz="0" w:space="0" w:color="auto"/>
          </w:divBdr>
        </w:div>
        <w:div w:id="1818835968">
          <w:marLeft w:val="0"/>
          <w:marRight w:val="0"/>
          <w:marTop w:val="0"/>
          <w:marBottom w:val="0"/>
          <w:divBdr>
            <w:top w:val="none" w:sz="0" w:space="0" w:color="auto"/>
            <w:left w:val="none" w:sz="0" w:space="0" w:color="auto"/>
            <w:bottom w:val="none" w:sz="0" w:space="0" w:color="auto"/>
            <w:right w:val="none" w:sz="0" w:space="0" w:color="auto"/>
          </w:divBdr>
        </w:div>
        <w:div w:id="1812364346">
          <w:marLeft w:val="0"/>
          <w:marRight w:val="0"/>
          <w:marTop w:val="0"/>
          <w:marBottom w:val="0"/>
          <w:divBdr>
            <w:top w:val="none" w:sz="0" w:space="0" w:color="auto"/>
            <w:left w:val="none" w:sz="0" w:space="0" w:color="auto"/>
            <w:bottom w:val="none" w:sz="0" w:space="0" w:color="auto"/>
            <w:right w:val="none" w:sz="0" w:space="0" w:color="auto"/>
          </w:divBdr>
        </w:div>
        <w:div w:id="1534077657">
          <w:marLeft w:val="0"/>
          <w:marRight w:val="0"/>
          <w:marTop w:val="0"/>
          <w:marBottom w:val="0"/>
          <w:divBdr>
            <w:top w:val="none" w:sz="0" w:space="0" w:color="auto"/>
            <w:left w:val="none" w:sz="0" w:space="0" w:color="auto"/>
            <w:bottom w:val="none" w:sz="0" w:space="0" w:color="auto"/>
            <w:right w:val="none" w:sz="0" w:space="0" w:color="auto"/>
          </w:divBdr>
        </w:div>
        <w:div w:id="1461149228">
          <w:marLeft w:val="0"/>
          <w:marRight w:val="0"/>
          <w:marTop w:val="0"/>
          <w:marBottom w:val="0"/>
          <w:divBdr>
            <w:top w:val="none" w:sz="0" w:space="0" w:color="auto"/>
            <w:left w:val="none" w:sz="0" w:space="0" w:color="auto"/>
            <w:bottom w:val="none" w:sz="0" w:space="0" w:color="auto"/>
            <w:right w:val="none" w:sz="0" w:space="0" w:color="auto"/>
          </w:divBdr>
        </w:div>
        <w:div w:id="1650741681">
          <w:marLeft w:val="0"/>
          <w:marRight w:val="0"/>
          <w:marTop w:val="0"/>
          <w:marBottom w:val="0"/>
          <w:divBdr>
            <w:top w:val="none" w:sz="0" w:space="0" w:color="auto"/>
            <w:left w:val="none" w:sz="0" w:space="0" w:color="auto"/>
            <w:bottom w:val="none" w:sz="0" w:space="0" w:color="auto"/>
            <w:right w:val="none" w:sz="0" w:space="0" w:color="auto"/>
          </w:divBdr>
        </w:div>
        <w:div w:id="417945784">
          <w:marLeft w:val="0"/>
          <w:marRight w:val="0"/>
          <w:marTop w:val="0"/>
          <w:marBottom w:val="0"/>
          <w:divBdr>
            <w:top w:val="none" w:sz="0" w:space="0" w:color="auto"/>
            <w:left w:val="none" w:sz="0" w:space="0" w:color="auto"/>
            <w:bottom w:val="none" w:sz="0" w:space="0" w:color="auto"/>
            <w:right w:val="none" w:sz="0" w:space="0" w:color="auto"/>
          </w:divBdr>
        </w:div>
        <w:div w:id="1058357795">
          <w:marLeft w:val="0"/>
          <w:marRight w:val="0"/>
          <w:marTop w:val="0"/>
          <w:marBottom w:val="0"/>
          <w:divBdr>
            <w:top w:val="none" w:sz="0" w:space="0" w:color="auto"/>
            <w:left w:val="none" w:sz="0" w:space="0" w:color="auto"/>
            <w:bottom w:val="none" w:sz="0" w:space="0" w:color="auto"/>
            <w:right w:val="none" w:sz="0" w:space="0" w:color="auto"/>
          </w:divBdr>
        </w:div>
        <w:div w:id="1662611778">
          <w:marLeft w:val="0"/>
          <w:marRight w:val="0"/>
          <w:marTop w:val="0"/>
          <w:marBottom w:val="0"/>
          <w:divBdr>
            <w:top w:val="none" w:sz="0" w:space="0" w:color="auto"/>
            <w:left w:val="none" w:sz="0" w:space="0" w:color="auto"/>
            <w:bottom w:val="none" w:sz="0" w:space="0" w:color="auto"/>
            <w:right w:val="none" w:sz="0" w:space="0" w:color="auto"/>
          </w:divBdr>
        </w:div>
        <w:div w:id="691420329">
          <w:marLeft w:val="0"/>
          <w:marRight w:val="0"/>
          <w:marTop w:val="0"/>
          <w:marBottom w:val="0"/>
          <w:divBdr>
            <w:top w:val="none" w:sz="0" w:space="0" w:color="auto"/>
            <w:left w:val="none" w:sz="0" w:space="0" w:color="auto"/>
            <w:bottom w:val="none" w:sz="0" w:space="0" w:color="auto"/>
            <w:right w:val="none" w:sz="0" w:space="0" w:color="auto"/>
          </w:divBdr>
        </w:div>
        <w:div w:id="924262136">
          <w:marLeft w:val="0"/>
          <w:marRight w:val="0"/>
          <w:marTop w:val="0"/>
          <w:marBottom w:val="0"/>
          <w:divBdr>
            <w:top w:val="none" w:sz="0" w:space="0" w:color="auto"/>
            <w:left w:val="none" w:sz="0" w:space="0" w:color="auto"/>
            <w:bottom w:val="none" w:sz="0" w:space="0" w:color="auto"/>
            <w:right w:val="none" w:sz="0" w:space="0" w:color="auto"/>
          </w:divBdr>
        </w:div>
        <w:div w:id="629022329">
          <w:marLeft w:val="0"/>
          <w:marRight w:val="0"/>
          <w:marTop w:val="0"/>
          <w:marBottom w:val="0"/>
          <w:divBdr>
            <w:top w:val="none" w:sz="0" w:space="0" w:color="auto"/>
            <w:left w:val="none" w:sz="0" w:space="0" w:color="auto"/>
            <w:bottom w:val="none" w:sz="0" w:space="0" w:color="auto"/>
            <w:right w:val="none" w:sz="0" w:space="0" w:color="auto"/>
          </w:divBdr>
        </w:div>
        <w:div w:id="146096024">
          <w:marLeft w:val="0"/>
          <w:marRight w:val="0"/>
          <w:marTop w:val="0"/>
          <w:marBottom w:val="0"/>
          <w:divBdr>
            <w:top w:val="none" w:sz="0" w:space="0" w:color="auto"/>
            <w:left w:val="none" w:sz="0" w:space="0" w:color="auto"/>
            <w:bottom w:val="none" w:sz="0" w:space="0" w:color="auto"/>
            <w:right w:val="none" w:sz="0" w:space="0" w:color="auto"/>
          </w:divBdr>
        </w:div>
        <w:div w:id="884832481">
          <w:marLeft w:val="0"/>
          <w:marRight w:val="0"/>
          <w:marTop w:val="0"/>
          <w:marBottom w:val="0"/>
          <w:divBdr>
            <w:top w:val="none" w:sz="0" w:space="0" w:color="auto"/>
            <w:left w:val="none" w:sz="0" w:space="0" w:color="auto"/>
            <w:bottom w:val="none" w:sz="0" w:space="0" w:color="auto"/>
            <w:right w:val="none" w:sz="0" w:space="0" w:color="auto"/>
          </w:divBdr>
        </w:div>
        <w:div w:id="1880245097">
          <w:marLeft w:val="0"/>
          <w:marRight w:val="0"/>
          <w:marTop w:val="0"/>
          <w:marBottom w:val="0"/>
          <w:divBdr>
            <w:top w:val="none" w:sz="0" w:space="0" w:color="auto"/>
            <w:left w:val="none" w:sz="0" w:space="0" w:color="auto"/>
            <w:bottom w:val="none" w:sz="0" w:space="0" w:color="auto"/>
            <w:right w:val="none" w:sz="0" w:space="0" w:color="auto"/>
          </w:divBdr>
        </w:div>
        <w:div w:id="486434935">
          <w:marLeft w:val="0"/>
          <w:marRight w:val="0"/>
          <w:marTop w:val="0"/>
          <w:marBottom w:val="0"/>
          <w:divBdr>
            <w:top w:val="none" w:sz="0" w:space="0" w:color="auto"/>
            <w:left w:val="none" w:sz="0" w:space="0" w:color="auto"/>
            <w:bottom w:val="none" w:sz="0" w:space="0" w:color="auto"/>
            <w:right w:val="none" w:sz="0" w:space="0" w:color="auto"/>
          </w:divBdr>
        </w:div>
        <w:div w:id="1024676075">
          <w:marLeft w:val="0"/>
          <w:marRight w:val="0"/>
          <w:marTop w:val="0"/>
          <w:marBottom w:val="0"/>
          <w:divBdr>
            <w:top w:val="none" w:sz="0" w:space="0" w:color="auto"/>
            <w:left w:val="none" w:sz="0" w:space="0" w:color="auto"/>
            <w:bottom w:val="none" w:sz="0" w:space="0" w:color="auto"/>
            <w:right w:val="none" w:sz="0" w:space="0" w:color="auto"/>
          </w:divBdr>
        </w:div>
        <w:div w:id="1798335448">
          <w:marLeft w:val="0"/>
          <w:marRight w:val="0"/>
          <w:marTop w:val="0"/>
          <w:marBottom w:val="0"/>
          <w:divBdr>
            <w:top w:val="none" w:sz="0" w:space="0" w:color="auto"/>
            <w:left w:val="none" w:sz="0" w:space="0" w:color="auto"/>
            <w:bottom w:val="none" w:sz="0" w:space="0" w:color="auto"/>
            <w:right w:val="none" w:sz="0" w:space="0" w:color="auto"/>
          </w:divBdr>
        </w:div>
        <w:div w:id="1539120178">
          <w:marLeft w:val="0"/>
          <w:marRight w:val="0"/>
          <w:marTop w:val="0"/>
          <w:marBottom w:val="0"/>
          <w:divBdr>
            <w:top w:val="none" w:sz="0" w:space="0" w:color="auto"/>
            <w:left w:val="none" w:sz="0" w:space="0" w:color="auto"/>
            <w:bottom w:val="none" w:sz="0" w:space="0" w:color="auto"/>
            <w:right w:val="none" w:sz="0" w:space="0" w:color="auto"/>
          </w:divBdr>
        </w:div>
        <w:div w:id="1146119251">
          <w:marLeft w:val="0"/>
          <w:marRight w:val="0"/>
          <w:marTop w:val="0"/>
          <w:marBottom w:val="0"/>
          <w:divBdr>
            <w:top w:val="none" w:sz="0" w:space="0" w:color="auto"/>
            <w:left w:val="none" w:sz="0" w:space="0" w:color="auto"/>
            <w:bottom w:val="none" w:sz="0" w:space="0" w:color="auto"/>
            <w:right w:val="none" w:sz="0" w:space="0" w:color="auto"/>
          </w:divBdr>
        </w:div>
        <w:div w:id="1824662623">
          <w:marLeft w:val="0"/>
          <w:marRight w:val="0"/>
          <w:marTop w:val="0"/>
          <w:marBottom w:val="0"/>
          <w:divBdr>
            <w:top w:val="none" w:sz="0" w:space="0" w:color="auto"/>
            <w:left w:val="none" w:sz="0" w:space="0" w:color="auto"/>
            <w:bottom w:val="none" w:sz="0" w:space="0" w:color="auto"/>
            <w:right w:val="none" w:sz="0" w:space="0" w:color="auto"/>
          </w:divBdr>
        </w:div>
        <w:div w:id="1570799272">
          <w:marLeft w:val="0"/>
          <w:marRight w:val="0"/>
          <w:marTop w:val="0"/>
          <w:marBottom w:val="0"/>
          <w:divBdr>
            <w:top w:val="none" w:sz="0" w:space="0" w:color="auto"/>
            <w:left w:val="none" w:sz="0" w:space="0" w:color="auto"/>
            <w:bottom w:val="none" w:sz="0" w:space="0" w:color="auto"/>
            <w:right w:val="none" w:sz="0" w:space="0" w:color="auto"/>
          </w:divBdr>
        </w:div>
        <w:div w:id="238029823">
          <w:marLeft w:val="0"/>
          <w:marRight w:val="0"/>
          <w:marTop w:val="0"/>
          <w:marBottom w:val="0"/>
          <w:divBdr>
            <w:top w:val="none" w:sz="0" w:space="0" w:color="auto"/>
            <w:left w:val="none" w:sz="0" w:space="0" w:color="auto"/>
            <w:bottom w:val="none" w:sz="0" w:space="0" w:color="auto"/>
            <w:right w:val="none" w:sz="0" w:space="0" w:color="auto"/>
          </w:divBdr>
        </w:div>
        <w:div w:id="963581971">
          <w:marLeft w:val="0"/>
          <w:marRight w:val="0"/>
          <w:marTop w:val="0"/>
          <w:marBottom w:val="0"/>
          <w:divBdr>
            <w:top w:val="none" w:sz="0" w:space="0" w:color="auto"/>
            <w:left w:val="none" w:sz="0" w:space="0" w:color="auto"/>
            <w:bottom w:val="none" w:sz="0" w:space="0" w:color="auto"/>
            <w:right w:val="none" w:sz="0" w:space="0" w:color="auto"/>
          </w:divBdr>
        </w:div>
        <w:div w:id="828642755">
          <w:marLeft w:val="0"/>
          <w:marRight w:val="0"/>
          <w:marTop w:val="0"/>
          <w:marBottom w:val="0"/>
          <w:divBdr>
            <w:top w:val="none" w:sz="0" w:space="0" w:color="auto"/>
            <w:left w:val="none" w:sz="0" w:space="0" w:color="auto"/>
            <w:bottom w:val="none" w:sz="0" w:space="0" w:color="auto"/>
            <w:right w:val="none" w:sz="0" w:space="0" w:color="auto"/>
          </w:divBdr>
        </w:div>
      </w:divsChild>
    </w:div>
    <w:div w:id="1994064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yperlink" Target="https://www.epg.com/gb/logistics-expertise/complimentary-gartner-report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928B716B017E544BD8FA7BDCB0B814F" ma:contentTypeVersion="22" ma:contentTypeDescription="Ein neues Dokument erstellen." ma:contentTypeScope="" ma:versionID="60db12aa096cd1a34ab464d69a86a418">
  <xsd:schema xmlns:xsd="http://www.w3.org/2001/XMLSchema" xmlns:xs="http://www.w3.org/2001/XMLSchema" xmlns:p="http://schemas.microsoft.com/office/2006/metadata/properties" xmlns:ns2="a2b96b72-bf03-4f26-b0fc-71096025897c" xmlns:ns3="9bf560e9-8dff-405e-8b48-93b4b5fc03b1" targetNamespace="http://schemas.microsoft.com/office/2006/metadata/properties" ma:root="true" ma:fieldsID="619ce73054607b35dade80c1a3260f91" ns2:_="" ns3:_="">
    <xsd:import namespace="a2b96b72-bf03-4f26-b0fc-71096025897c"/>
    <xsd:import namespace="9bf560e9-8dff-405e-8b48-93b4b5fc03b1"/>
    <xsd:element name="properties">
      <xsd:complexType>
        <xsd:sequence>
          <xsd:element name="documentManagement">
            <xsd:complexType>
              <xsd:all>
                <xsd:element ref="ns2:_Flow_SignoffStatus" minOccurs="0"/>
                <xsd:element ref="ns2:Channel" minOccurs="0"/>
                <xsd:element ref="ns2:Department" minOccurs="0"/>
                <xsd:element ref="ns2:Language" minOccurs="0"/>
                <xsd:element ref="ns2:Revision" minOccurs="0"/>
                <xsd:element ref="ns2:FileVersion" minOccurs="0"/>
                <xsd:element ref="ns2:FileDate"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96b72-bf03-4f26-b0fc-71096025897c" elementFormDefault="qualified">
    <xsd:import namespace="http://schemas.microsoft.com/office/2006/documentManagement/types"/>
    <xsd:import namespace="http://schemas.microsoft.com/office/infopath/2007/PartnerControls"/>
    <xsd:element name="_Flow_SignoffStatus" ma:index="3" nillable="true" ma:displayName="Status Unterschrift" ma:internalName="Status_x0020_Unterschrift">
      <xsd:simpleType>
        <xsd:restriction base="dms:Text"/>
      </xsd:simpleType>
    </xsd:element>
    <xsd:element name="Channel" ma:index="4" nillable="true" ma:displayName="Channel" ma:format="Dropdown" ma:internalName="Channel">
      <xsd:simpleType>
        <xsd:restriction base="dms:Choice">
          <xsd:enumeration value="Corporate Material"/>
          <xsd:enumeration value="Customers"/>
          <xsd:enumeration value="Marketing Campaigns"/>
          <xsd:enumeration value="Partner"/>
          <xsd:enumeration value="Pictures, Visuals and Videos"/>
          <xsd:enumeration value="Products and Services"/>
          <xsd:enumeration value="Test"/>
        </xsd:restriction>
      </xsd:simpleType>
    </xsd:element>
    <xsd:element name="Department" ma:index="5" nillable="true" ma:displayName="Department" ma:description="Eine Auswahlspalte für die Zuordnung des&#10;Dokuments zur entsprechenden Abteilung." ma:format="Dropdown" ma:internalName="Department">
      <xsd:simpleType>
        <xsd:restriction base="dms:Choice">
          <xsd:enumeration value="BFO"/>
        </xsd:restriction>
      </xsd:simpleType>
    </xsd:element>
    <xsd:element name="Language" ma:index="6" nillable="true" ma:displayName="Language" ma:format="Dropdown" ma:internalName="Language">
      <xsd:simpleType>
        <xsd:restriction base="dms:Choice">
          <xsd:enumeration value="CZ"/>
          <xsd:enumeration value="ENU"/>
          <xsd:enumeration value="ES"/>
          <xsd:enumeration value="FR"/>
          <xsd:enumeration value="GER"/>
          <xsd:enumeration value="ITA"/>
          <xsd:enumeration value="NL"/>
          <xsd:enumeration value="PL"/>
          <xsd:enumeration value="PTB"/>
          <xsd:enumeration value="RU"/>
        </xsd:restriction>
      </xsd:simpleType>
    </xsd:element>
    <xsd:element name="Revision" ma:index="7" nillable="true" ma:displayName="File Revision" ma:decimals="1" ma:description="Eine numerische Spalte zur Angabe der&#10;Revisionsnummer des Dokuments." ma:format="Dropdown" ma:internalName="Revision" ma:percentage="FALSE">
      <xsd:simpleType>
        <xsd:restriction base="dms:Number">
          <xsd:minInclusive value="1"/>
        </xsd:restriction>
      </xsd:simpleType>
    </xsd:element>
    <xsd:element name="FileVersion" ma:index="8" nillable="true" ma:displayName="File Version" ma:decimals="1" ma:format="Dropdown" ma:internalName="FileVersion" ma:percentage="FALSE">
      <xsd:simpleType>
        <xsd:restriction base="dms:Number"/>
      </xsd:simpleType>
    </xsd:element>
    <xsd:element name="FileDate" ma:index="9" nillable="true" ma:displayName="File Date" ma:format="DateOnly" ma:internalName="FileDate">
      <xsd:simpleType>
        <xsd:restriction base="dms:DateTime"/>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f560e9-8dff-405e-8b48-93b4b5fc03b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132c41b-48f5-4333-9eb4-61ebe9116be4}" ma:internalName="TaxCatchAll" ma:showField="CatchAllData" ma:web="9bf560e9-8dff-405e-8b48-93b4b5fc03b1">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2b96b72-bf03-4f26-b0fc-71096025897c">
      <Terms xmlns="http://schemas.microsoft.com/office/infopath/2007/PartnerControls"/>
    </lcf76f155ced4ddcb4097134ff3c332f>
    <TaxCatchAll xmlns="9bf560e9-8dff-405e-8b48-93b4b5fc03b1" xsi:nil="true"/>
    <_Flow_SignoffStatus xmlns="a2b96b72-bf03-4f26-b0fc-71096025897c" xsi:nil="true"/>
    <Language xmlns="a2b96b72-bf03-4f26-b0fc-71096025897c" xsi:nil="true"/>
    <FileVersion xmlns="a2b96b72-bf03-4f26-b0fc-71096025897c" xsi:nil="true"/>
    <Channel xmlns="a2b96b72-bf03-4f26-b0fc-71096025897c" xsi:nil="true"/>
    <FileDate xmlns="a2b96b72-bf03-4f26-b0fc-71096025897c" xsi:nil="true"/>
    <Revision xmlns="a2b96b72-bf03-4f26-b0fc-71096025897c" xsi:nil="true"/>
    <Department xmlns="a2b96b72-bf03-4f26-b0fc-71096025897c" xsi:nil="true"/>
  </documentManagement>
</p:properties>
</file>

<file path=customXml/itemProps1.xml><?xml version="1.0" encoding="utf-8"?>
<ds:datastoreItem xmlns:ds="http://schemas.openxmlformats.org/officeDocument/2006/customXml" ds:itemID="{539BAE4E-E728-490F-AC0E-18C6D36F3860}"/>
</file>

<file path=customXml/itemProps2.xml><?xml version="1.0" encoding="utf-8"?>
<ds:datastoreItem xmlns:ds="http://schemas.openxmlformats.org/officeDocument/2006/customXml" ds:itemID="{7FFD3FE3-AC88-4438-90A8-9A8A6B026FCA}">
  <ds:schemaRefs>
    <ds:schemaRef ds:uri="http://schemas.microsoft.com/sharepoint/v3/contenttype/forms"/>
  </ds:schemaRefs>
</ds:datastoreItem>
</file>

<file path=customXml/itemProps3.xml><?xml version="1.0" encoding="utf-8"?>
<ds:datastoreItem xmlns:ds="http://schemas.openxmlformats.org/officeDocument/2006/customXml" ds:itemID="{A5EDCC07-7168-4891-9C7A-09024CA24A1C}">
  <ds:schemaRefs>
    <ds:schemaRef ds:uri="http://schemas.microsoft.com/office/2006/metadata/properties"/>
    <ds:schemaRef ds:uri="http://schemas.microsoft.com/office/infopath/2007/PartnerControls"/>
    <ds:schemaRef ds:uri="40f58a56-6c8e-4928-87c7-f89fe91a38aa"/>
    <ds:schemaRef ds:uri="bf2fcf71-2ab9-4dcb-aafb-8f36f3e4edf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940</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Kuhlhüser, Sandra</dc:creator>
  <cp:keywords/>
  <cp:lastModifiedBy>Moran, Elena</cp:lastModifiedBy>
  <cp:revision>5</cp:revision>
  <cp:lastPrinted>2025-03-04T14:30:00Z</cp:lastPrinted>
  <dcterms:created xsi:type="dcterms:W3CDTF">2025-02-10T09:32:00Z</dcterms:created>
  <dcterms:modified xsi:type="dcterms:W3CDTF">2025-03-07T09:55:00Z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0x010100A928B716B017E544BD8FA7BDCB0B814F</vt:lpwstr>
  </property>
  <property fmtid="{D5CDD505-2E9C-101B-9397-08002B2CF9AE}" pid="3" name="MediaServiceImageTags">
    <vt:lpwstr/>
  </property>
</Properties>
</file>