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4CAA" w14:textId="319F59E1" w:rsidR="000B595A" w:rsidRPr="000B595A" w:rsidRDefault="000B595A" w:rsidP="000B595A">
      <w:pPr>
        <w:pStyle w:val="paragraph"/>
        <w:spacing w:before="0" w:beforeAutospacing="0" w:after="0" w:afterAutospacing="0"/>
        <w:jc w:val="center"/>
        <w:textAlignment w:val="baseline"/>
        <w:rPr>
          <w:rStyle w:val="eop"/>
          <w:rFonts w:ascii="Arial" w:eastAsiaTheme="majorEastAsia" w:hAnsi="Arial" w:cs="Arial"/>
          <w:b/>
          <w:bCs/>
          <w:sz w:val="36"/>
          <w:szCs w:val="36"/>
        </w:rPr>
      </w:pPr>
      <w:r w:rsidRPr="000B595A">
        <w:rPr>
          <w:rStyle w:val="eop"/>
          <w:rFonts w:ascii="Arial" w:eastAsiaTheme="majorEastAsia" w:hAnsi="Arial" w:cs="Arial"/>
          <w:b/>
          <w:bCs/>
          <w:sz w:val="36"/>
          <w:szCs w:val="36"/>
        </w:rPr>
        <w:t>Nintendo of Europe opts for LFS and TIMESQUARE</w:t>
      </w:r>
    </w:p>
    <w:p w14:paraId="4AC0DFF0" w14:textId="77777777" w:rsidR="000B595A" w:rsidRPr="00AD73BB" w:rsidRDefault="000B595A" w:rsidP="000B595A">
      <w:pPr>
        <w:pStyle w:val="paragraph"/>
        <w:spacing w:before="0" w:beforeAutospacing="0" w:after="0" w:afterAutospacing="0"/>
        <w:jc w:val="both"/>
        <w:textAlignment w:val="baseline"/>
        <w:rPr>
          <w:rStyle w:val="eop"/>
          <w:rFonts w:ascii="Arial" w:eastAsiaTheme="majorEastAsia" w:hAnsi="Arial" w:cs="Arial"/>
          <w:b/>
          <w:bCs/>
          <w:sz w:val="22"/>
          <w:szCs w:val="22"/>
        </w:rPr>
      </w:pPr>
    </w:p>
    <w:p w14:paraId="645BCD48" w14:textId="77777777" w:rsidR="000B595A" w:rsidRPr="00AD73BB" w:rsidRDefault="000B595A" w:rsidP="000B595A">
      <w:pPr>
        <w:pStyle w:val="paragraph"/>
        <w:spacing w:before="0" w:beforeAutospacing="0" w:after="0" w:afterAutospacing="0" w:line="360" w:lineRule="auto"/>
        <w:jc w:val="both"/>
        <w:textAlignment w:val="baseline"/>
        <w:rPr>
          <w:rStyle w:val="eop"/>
          <w:rFonts w:ascii="Arial" w:eastAsiaTheme="majorEastAsia" w:hAnsi="Arial" w:cs="Arial"/>
          <w:b/>
          <w:bCs/>
          <w:sz w:val="22"/>
          <w:szCs w:val="22"/>
        </w:rPr>
      </w:pPr>
      <w:r w:rsidRPr="00AD73BB">
        <w:rPr>
          <w:rStyle w:val="eop"/>
          <w:rFonts w:ascii="Arial" w:eastAsiaTheme="majorEastAsia" w:hAnsi="Arial" w:cs="Arial"/>
          <w:b/>
          <w:bCs/>
          <w:sz w:val="22"/>
          <w:szCs w:val="22"/>
        </w:rPr>
        <w:t xml:space="preserve">Soon, EPG’s LFS warehouse management system will control the material flow for Nintendo. The European headquarters of the Japanese parent company, which produces video games and video game consoles, has been relying on EPG's solutions since September 2023. Alongside LFS, the TIMESQUARE supply chain control tower will also launch, providing a dashboard for operations.  </w:t>
      </w:r>
    </w:p>
    <w:p w14:paraId="30DF2DDB" w14:textId="77777777" w:rsidR="000B595A" w:rsidRPr="00B75C51" w:rsidRDefault="000B595A" w:rsidP="000B595A">
      <w:pPr>
        <w:pStyle w:val="paragraph"/>
        <w:spacing w:before="0" w:beforeAutospacing="0" w:after="0" w:afterAutospacing="0"/>
        <w:jc w:val="both"/>
        <w:textAlignment w:val="baseline"/>
        <w:rPr>
          <w:rStyle w:val="eop"/>
          <w:rFonts w:ascii="Arial" w:eastAsiaTheme="majorEastAsia" w:hAnsi="Arial" w:cs="Arial"/>
          <w:sz w:val="22"/>
          <w:szCs w:val="22"/>
        </w:rPr>
      </w:pPr>
      <w:r w:rsidRPr="00B75C51">
        <w:rPr>
          <w:rStyle w:val="eop"/>
          <w:rFonts w:ascii="Arial" w:eastAsiaTheme="majorEastAsia" w:hAnsi="Arial" w:cs="Arial"/>
          <w:sz w:val="22"/>
          <w:szCs w:val="22"/>
        </w:rPr>
        <w:t xml:space="preserve"> </w:t>
      </w:r>
    </w:p>
    <w:p w14:paraId="7CEEF735" w14:textId="77777777" w:rsidR="000B595A" w:rsidRPr="000B595A" w:rsidRDefault="000B595A" w:rsidP="000B595A">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r w:rsidRPr="000B595A">
        <w:rPr>
          <w:rFonts w:ascii="Arial" w:eastAsia="Arial Unicode MS" w:hAnsi="Arial" w:cs="Arial Unicode MS"/>
          <w:color w:val="000000"/>
          <w:sz w:val="22"/>
          <w:szCs w:val="22"/>
          <w:u w:color="000000"/>
          <w:bdr w:val="nil"/>
          <w14:textOutline w14:w="0" w14:cap="flat" w14:cmpd="sng" w14:algn="ctr">
            <w14:noFill/>
            <w14:prstDash w14:val="solid"/>
            <w14:bevel/>
          </w14:textOutline>
        </w:rPr>
        <w:t xml:space="preserve">After initial contact in April 2023, project work began in September 2023. Nintendo of Europe's decision to implement EPG's solutions was made quickly, encouraged by the aptitude of an intercontinental company with years of expertise and a comprehensive Supply Chain Execution Suite. To achieve greater flexibility in the management of its warehouse locations, Nintendo of Europe chose to introduce the LFS warehouse management system. </w:t>
      </w:r>
    </w:p>
    <w:p w14:paraId="768EA57C" w14:textId="77777777" w:rsidR="000B595A" w:rsidRPr="000B595A" w:rsidRDefault="000B595A" w:rsidP="000B595A">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p>
    <w:p w14:paraId="596F825A" w14:textId="77777777" w:rsidR="000B595A" w:rsidRPr="000B595A" w:rsidRDefault="000B595A" w:rsidP="000B595A">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r w:rsidRPr="000B595A">
        <w:rPr>
          <w:rFonts w:ascii="Arial" w:eastAsia="Arial Unicode MS" w:hAnsi="Arial" w:cs="Arial Unicode MS"/>
          <w:color w:val="000000"/>
          <w:sz w:val="22"/>
          <w:szCs w:val="22"/>
          <w:u w:color="000000"/>
          <w:bdr w:val="nil"/>
          <w14:textOutline w14:w="0" w14:cap="flat" w14:cmpd="sng" w14:algn="ctr">
            <w14:noFill/>
            <w14:prstDash w14:val="solid"/>
            <w14:bevel/>
          </w14:textOutline>
        </w:rPr>
        <w:t xml:space="preserve">The initial focus is on connecting the ERP system and Nintendo's B2C middleware for an April 2024 roll out in Spain and a June 2024 roll out in the UK. Nintendo of Europe does not manage its warehouse locations independently, but instead relies on logistics service providers. These will also work with LFS and TIMESQUARE in the future. The TIMESQUARE supply chain control tower ensures reliable monitoring and reporting of the logistics service providers in addition to all warehouse movements and defined management KPIs.  </w:t>
      </w:r>
    </w:p>
    <w:p w14:paraId="25E89DB9" w14:textId="77777777" w:rsidR="000B595A" w:rsidRPr="000B595A" w:rsidRDefault="000B595A" w:rsidP="000B595A">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r w:rsidRPr="000B595A">
        <w:rPr>
          <w:rFonts w:ascii="Arial" w:eastAsia="Arial Unicode MS" w:hAnsi="Arial" w:cs="Arial Unicode MS"/>
          <w:color w:val="000000"/>
          <w:sz w:val="22"/>
          <w:szCs w:val="22"/>
          <w:u w:color="000000"/>
          <w:bdr w:val="nil"/>
          <w14:textOutline w14:w="0" w14:cap="flat" w14:cmpd="sng" w14:algn="ctr">
            <w14:noFill/>
            <w14:prstDash w14:val="solid"/>
            <w14:bevel/>
          </w14:textOutline>
        </w:rPr>
        <w:t xml:space="preserve"> </w:t>
      </w:r>
    </w:p>
    <w:p w14:paraId="67F792AE" w14:textId="77777777" w:rsidR="000B595A" w:rsidRPr="000B595A" w:rsidRDefault="000B595A" w:rsidP="000B595A">
      <w:pPr>
        <w:pStyle w:val="paragraph"/>
        <w:spacing w:before="0" w:beforeAutospacing="0" w:after="0" w:afterAutospacing="0" w:line="360" w:lineRule="auto"/>
        <w:jc w:val="both"/>
        <w:textAlignment w:val="baseline"/>
        <w:rPr>
          <w:rFonts w:ascii="Arial" w:eastAsia="Arial Unicode MS" w:hAnsi="Arial" w:cs="Arial Unicode MS"/>
          <w:color w:val="000000"/>
          <w:sz w:val="22"/>
          <w:szCs w:val="22"/>
          <w:u w:color="000000"/>
          <w:bdr w:val="nil"/>
          <w14:textOutline w14:w="0" w14:cap="flat" w14:cmpd="sng" w14:algn="ctr">
            <w14:noFill/>
            <w14:prstDash w14:val="solid"/>
            <w14:bevel/>
          </w14:textOutline>
        </w:rPr>
      </w:pPr>
      <w:r w:rsidRPr="000B595A">
        <w:rPr>
          <w:rFonts w:ascii="Arial" w:eastAsia="Arial Unicode MS" w:hAnsi="Arial" w:cs="Arial Unicode MS"/>
          <w:color w:val="000000"/>
          <w:sz w:val="22"/>
          <w:szCs w:val="22"/>
          <w:u w:color="000000"/>
          <w:bdr w:val="nil"/>
          <w14:textOutline w14:w="0" w14:cap="flat" w14:cmpd="sng" w14:algn="ctr">
            <w14:noFill/>
            <w14:prstDash w14:val="solid"/>
            <w14:bevel/>
          </w14:textOutline>
        </w:rPr>
        <w:t>To ensure efficient implementation, the execution of this project is agile. The goal is to standardize the day-to-day functionality for Nintendo of Europe. As the project progresses, it will expand to manage the B2B business via LFS in addition to the B2C business.</w:t>
      </w:r>
    </w:p>
    <w:p w14:paraId="642D17EF" w14:textId="2E9321BF" w:rsidR="00F742A0" w:rsidRDefault="00F742A0" w:rsidP="003115BA">
      <w:pPr>
        <w:pStyle w:val="Default"/>
        <w:spacing w:before="0" w:line="360" w:lineRule="auto"/>
        <w:jc w:val="both"/>
        <w:rPr>
          <w:rFonts w:ascii="Arial" w:eastAsia="Arial" w:hAnsi="Arial" w:cs="Arial"/>
          <w:sz w:val="22"/>
          <w:szCs w:val="22"/>
        </w:rPr>
      </w:pPr>
    </w:p>
    <w:p w14:paraId="642D17F4" w14:textId="41032A16"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color w:val="FF0000"/>
          <w:sz w:val="22"/>
          <w:szCs w:val="22"/>
          <w:u w:color="FF0000"/>
        </w:rPr>
      </w:pPr>
      <w:r w:rsidRPr="00330E3C">
        <w:rPr>
          <w:rFonts w:ascii="Arial" w:hAnsi="Arial"/>
          <w:b/>
          <w:bCs/>
          <w:sz w:val="22"/>
          <w:szCs w:val="22"/>
          <w:u w:color="000000"/>
        </w:rPr>
        <w:t xml:space="preserve">Issued:  </w:t>
      </w:r>
      <w:r w:rsidRPr="00330E3C">
        <w:rPr>
          <w:rFonts w:ascii="Arial" w:hAnsi="Arial"/>
          <w:b/>
          <w:bCs/>
          <w:sz w:val="22"/>
          <w:szCs w:val="22"/>
          <w:u w:color="000000"/>
        </w:rPr>
        <w:tab/>
      </w:r>
      <w:r w:rsidRPr="00330E3C">
        <w:rPr>
          <w:rFonts w:ascii="Arial" w:hAnsi="Arial"/>
          <w:b/>
          <w:bCs/>
          <w:sz w:val="22"/>
          <w:szCs w:val="22"/>
          <w:u w:color="000000"/>
        </w:rPr>
        <w:tab/>
      </w:r>
      <w:r w:rsidR="003A4040">
        <w:rPr>
          <w:rFonts w:ascii="Arial" w:hAnsi="Arial"/>
          <w:b/>
          <w:bCs/>
          <w:sz w:val="22"/>
          <w:szCs w:val="22"/>
          <w:u w:color="000000"/>
        </w:rPr>
        <w:t>26</w:t>
      </w:r>
      <w:r w:rsidR="00F050CF">
        <w:rPr>
          <w:rFonts w:ascii="Arial" w:hAnsi="Arial"/>
          <w:b/>
          <w:bCs/>
          <w:sz w:val="22"/>
          <w:szCs w:val="22"/>
          <w:u w:color="000000"/>
        </w:rPr>
        <w:t xml:space="preserve">, </w:t>
      </w:r>
      <w:r w:rsidR="00EF397D">
        <w:rPr>
          <w:rFonts w:ascii="Arial" w:hAnsi="Arial"/>
          <w:b/>
          <w:bCs/>
          <w:sz w:val="22"/>
          <w:szCs w:val="22"/>
          <w:u w:color="000000"/>
        </w:rPr>
        <w:t>March</w:t>
      </w:r>
      <w:r w:rsidR="00F050CF">
        <w:rPr>
          <w:rFonts w:ascii="Arial" w:hAnsi="Arial"/>
          <w:b/>
          <w:bCs/>
          <w:sz w:val="22"/>
          <w:szCs w:val="22"/>
          <w:u w:color="000000"/>
        </w:rPr>
        <w:t xml:space="preserve"> 2024</w:t>
      </w:r>
    </w:p>
    <w:p w14:paraId="642D17F5" w14:textId="433E3F4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sz w:val="22"/>
          <w:szCs w:val="22"/>
          <w:u w:color="000000"/>
        </w:rPr>
      </w:pPr>
      <w:r w:rsidRPr="00330E3C">
        <w:rPr>
          <w:rFonts w:ascii="Arial" w:hAnsi="Arial"/>
          <w:b/>
          <w:bCs/>
          <w:sz w:val="22"/>
          <w:szCs w:val="22"/>
          <w:u w:color="000000"/>
        </w:rPr>
        <w:t xml:space="preserve">Text volume: </w:t>
      </w:r>
      <w:r w:rsidRPr="00330E3C">
        <w:rPr>
          <w:rFonts w:ascii="Arial" w:hAnsi="Arial"/>
          <w:b/>
          <w:bCs/>
          <w:sz w:val="22"/>
          <w:szCs w:val="22"/>
          <w:u w:color="000000"/>
        </w:rPr>
        <w:tab/>
      </w:r>
      <w:bookmarkStart w:id="0" w:name="_Hlk32841333"/>
      <w:r w:rsidR="000B595A">
        <w:rPr>
          <w:rFonts w:ascii="Arial" w:hAnsi="Arial"/>
          <w:b/>
          <w:bCs/>
          <w:sz w:val="22"/>
          <w:szCs w:val="22"/>
          <w:u w:color="000000"/>
        </w:rPr>
        <w:t>1,645</w:t>
      </w:r>
      <w:r>
        <w:rPr>
          <w:rFonts w:ascii="Arial" w:hAnsi="Arial"/>
          <w:b/>
          <w:bCs/>
          <w:sz w:val="22"/>
          <w:szCs w:val="22"/>
          <w:u w:color="000000"/>
        </w:rPr>
        <w:t xml:space="preserve"> </w:t>
      </w:r>
      <w:r w:rsidRPr="00330E3C">
        <w:rPr>
          <w:rFonts w:ascii="Arial" w:hAnsi="Arial"/>
          <w:b/>
          <w:bCs/>
          <w:sz w:val="22"/>
          <w:szCs w:val="22"/>
          <w:u w:color="000000"/>
        </w:rPr>
        <w:t xml:space="preserve">Characters </w:t>
      </w:r>
      <w:r>
        <w:rPr>
          <w:rFonts w:ascii="Arial" w:hAnsi="Arial"/>
          <w:b/>
          <w:bCs/>
          <w:sz w:val="22"/>
          <w:szCs w:val="22"/>
          <w:u w:color="000000"/>
        </w:rPr>
        <w:t>incl.</w:t>
      </w:r>
      <w:r w:rsidRPr="00330E3C">
        <w:rPr>
          <w:rFonts w:ascii="Arial" w:hAnsi="Arial"/>
          <w:b/>
          <w:bCs/>
          <w:sz w:val="22"/>
          <w:szCs w:val="22"/>
          <w:u w:color="000000"/>
        </w:rPr>
        <w:t xml:space="preserve"> </w:t>
      </w:r>
      <w:r>
        <w:rPr>
          <w:rFonts w:ascii="Arial" w:hAnsi="Arial"/>
          <w:b/>
          <w:bCs/>
          <w:sz w:val="22"/>
          <w:szCs w:val="22"/>
          <w:u w:color="000000"/>
        </w:rPr>
        <w:t>spaces</w:t>
      </w:r>
    </w:p>
    <w:p w14:paraId="642D17F6" w14:textId="0E81C78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ind w:left="1415" w:hanging="1415"/>
        <w:jc w:val="both"/>
        <w:rPr>
          <w:rFonts w:ascii="Arial" w:hAnsi="Arial"/>
          <w:b/>
          <w:bCs/>
          <w:sz w:val="22"/>
          <w:szCs w:val="22"/>
          <w:u w:color="000000"/>
        </w:rPr>
      </w:pPr>
      <w:r w:rsidRPr="00330E3C">
        <w:rPr>
          <w:rFonts w:ascii="Arial" w:hAnsi="Arial"/>
          <w:b/>
          <w:bCs/>
          <w:sz w:val="22"/>
          <w:szCs w:val="22"/>
          <w:u w:color="000000"/>
        </w:rPr>
        <w:t>Photos:</w:t>
      </w:r>
      <w:r w:rsidRPr="00330E3C">
        <w:rPr>
          <w:rFonts w:ascii="Arial" w:hAnsi="Arial"/>
          <w:b/>
          <w:bCs/>
          <w:sz w:val="22"/>
          <w:szCs w:val="22"/>
          <w:u w:color="000000"/>
        </w:rPr>
        <w:tab/>
      </w:r>
      <w:r w:rsidRPr="00330E3C">
        <w:rPr>
          <w:rFonts w:ascii="Arial" w:hAnsi="Arial"/>
          <w:b/>
          <w:bCs/>
          <w:sz w:val="22"/>
          <w:szCs w:val="22"/>
          <w:u w:color="000000"/>
        </w:rPr>
        <w:tab/>
      </w:r>
      <w:r w:rsidRPr="00330E3C">
        <w:rPr>
          <w:rFonts w:ascii="Arial" w:hAnsi="Arial"/>
          <w:b/>
          <w:bCs/>
          <w:sz w:val="22"/>
          <w:szCs w:val="22"/>
          <w:u w:color="000000"/>
        </w:rPr>
        <w:tab/>
      </w:r>
      <w:r w:rsidR="000C79EB">
        <w:rPr>
          <w:rFonts w:ascii="Arial" w:hAnsi="Arial"/>
          <w:b/>
          <w:bCs/>
          <w:sz w:val="22"/>
          <w:szCs w:val="22"/>
          <w:u w:color="000000"/>
        </w:rPr>
        <w:t>2</w:t>
      </w:r>
    </w:p>
    <w:p w14:paraId="4DDFFF1B" w14:textId="77777777" w:rsidR="00BB11D6" w:rsidRPr="00BB11D6" w:rsidRDefault="00BB11D6" w:rsidP="00BB11D6">
      <w:pPr>
        <w:spacing w:line="360" w:lineRule="auto"/>
        <w:jc w:val="both"/>
        <w:rPr>
          <w:rFonts w:ascii="Arial" w:hAnsi="Arial" w:cs="Arial"/>
          <w:b/>
          <w:bCs/>
          <w:color w:val="000000" w:themeColor="text1"/>
          <w:sz w:val="22"/>
          <w:szCs w:val="22"/>
        </w:rPr>
      </w:pPr>
      <w:r w:rsidRPr="00BB11D6">
        <w:rPr>
          <w:rFonts w:ascii="Arial" w:hAnsi="Arial" w:cs="Arial"/>
          <w:b/>
          <w:bCs/>
          <w:color w:val="000000" w:themeColor="text1"/>
          <w:sz w:val="22"/>
          <w:szCs w:val="22"/>
        </w:rPr>
        <w:t xml:space="preserve">Captions: </w:t>
      </w:r>
    </w:p>
    <w:p w14:paraId="254A941D" w14:textId="4F1DA451" w:rsidR="00BB11D6" w:rsidRPr="002B74B2" w:rsidRDefault="00BB11D6" w:rsidP="00BB11D6">
      <w:pPr>
        <w:spacing w:line="360" w:lineRule="auto"/>
        <w:jc w:val="both"/>
        <w:rPr>
          <w:rFonts w:ascii="Arial" w:hAnsi="Arial" w:cs="Arial"/>
          <w:sz w:val="22"/>
          <w:szCs w:val="22"/>
        </w:rPr>
      </w:pPr>
      <w:r w:rsidRPr="00BB11D6">
        <w:rPr>
          <w:rFonts w:ascii="Arial" w:hAnsi="Arial" w:cs="Arial"/>
          <w:b/>
          <w:bCs/>
          <w:color w:val="000000" w:themeColor="text1"/>
          <w:sz w:val="22"/>
          <w:szCs w:val="22"/>
        </w:rPr>
        <w:t>1.</w:t>
      </w:r>
      <w:r w:rsidRPr="00BB11D6">
        <w:rPr>
          <w:rFonts w:ascii="Arial" w:hAnsi="Arial" w:cs="Arial"/>
          <w:color w:val="000000" w:themeColor="text1"/>
          <w:sz w:val="22"/>
          <w:szCs w:val="22"/>
        </w:rPr>
        <w:t xml:space="preserve"> </w:t>
      </w:r>
      <w:r w:rsidR="0078587D" w:rsidRPr="002B74B2">
        <w:rPr>
          <w:rFonts w:ascii="Arial" w:hAnsi="Arial" w:cs="Arial"/>
          <w:sz w:val="22"/>
          <w:szCs w:val="22"/>
        </w:rPr>
        <w:t>LFS</w:t>
      </w:r>
      <w:r w:rsidRPr="002B74B2">
        <w:rPr>
          <w:rFonts w:ascii="Arial" w:hAnsi="Arial" w:cs="Arial"/>
          <w:sz w:val="22"/>
          <w:szCs w:val="22"/>
        </w:rPr>
        <w:t xml:space="preserve"> </w:t>
      </w:r>
      <w:r w:rsidR="004027FF">
        <w:rPr>
          <w:rFonts w:ascii="Arial" w:hAnsi="Arial" w:cs="Arial"/>
          <w:sz w:val="22"/>
          <w:szCs w:val="22"/>
        </w:rPr>
        <w:t>frontend software</w:t>
      </w:r>
      <w:r w:rsidR="006642E4">
        <w:rPr>
          <w:rFonts w:ascii="Arial" w:hAnsi="Arial" w:cs="Arial"/>
          <w:sz w:val="22"/>
          <w:szCs w:val="22"/>
        </w:rPr>
        <w:t xml:space="preserve"> </w:t>
      </w:r>
      <w:r w:rsidR="001D71FF">
        <w:rPr>
          <w:rFonts w:ascii="Arial" w:hAnsi="Arial" w:cs="Arial"/>
          <w:sz w:val="22"/>
          <w:szCs w:val="22"/>
        </w:rPr>
        <w:t>is designed</w:t>
      </w:r>
      <w:r w:rsidR="006642E4">
        <w:rPr>
          <w:rFonts w:ascii="Arial" w:hAnsi="Arial" w:cs="Arial"/>
          <w:sz w:val="22"/>
          <w:szCs w:val="22"/>
        </w:rPr>
        <w:t xml:space="preserve"> </w:t>
      </w:r>
      <w:r w:rsidR="001D71FF">
        <w:rPr>
          <w:rFonts w:ascii="Arial" w:hAnsi="Arial" w:cs="Arial"/>
          <w:sz w:val="22"/>
          <w:szCs w:val="22"/>
        </w:rPr>
        <w:t xml:space="preserve">for </w:t>
      </w:r>
      <w:r w:rsidR="00464C13">
        <w:rPr>
          <w:rFonts w:ascii="Arial" w:hAnsi="Arial" w:cs="Arial"/>
          <w:sz w:val="22"/>
          <w:szCs w:val="22"/>
        </w:rPr>
        <w:t>functional automation transparency.</w:t>
      </w:r>
    </w:p>
    <w:p w14:paraId="6457851A" w14:textId="756EA95B" w:rsidR="00F742A0" w:rsidRPr="00330E3C" w:rsidRDefault="00BB11D6" w:rsidP="003A4040">
      <w:pPr>
        <w:spacing w:line="360" w:lineRule="auto"/>
        <w:jc w:val="both"/>
        <w:rPr>
          <w:rFonts w:ascii="Arial" w:eastAsia="Arial" w:hAnsi="Arial" w:cs="Arial"/>
          <w:b/>
          <w:bCs/>
          <w:sz w:val="22"/>
          <w:szCs w:val="22"/>
          <w:u w:color="000000"/>
        </w:rPr>
      </w:pPr>
      <w:r w:rsidRPr="002B74B2">
        <w:rPr>
          <w:rFonts w:ascii="Arial" w:hAnsi="Arial" w:cs="Arial"/>
          <w:b/>
          <w:bCs/>
          <w:sz w:val="22"/>
          <w:szCs w:val="22"/>
        </w:rPr>
        <w:t>2</w:t>
      </w:r>
      <w:r w:rsidRPr="002B74B2">
        <w:rPr>
          <w:rFonts w:ascii="Arial" w:hAnsi="Arial" w:cs="Arial"/>
          <w:sz w:val="22"/>
          <w:szCs w:val="22"/>
        </w:rPr>
        <w:t xml:space="preserve">. As an all-in-one dashboard, the TIMESQUARE supply </w:t>
      </w:r>
      <w:r w:rsidRPr="00BB11D6">
        <w:rPr>
          <w:rFonts w:ascii="Arial" w:hAnsi="Arial" w:cs="Arial"/>
          <w:color w:val="000000" w:themeColor="text1"/>
          <w:sz w:val="22"/>
          <w:szCs w:val="22"/>
        </w:rPr>
        <w:t>chain control tower delivers an aggregated overview of all warehouse KPIs and data supplied by the connected TMS.</w:t>
      </w:r>
      <w:r w:rsidRPr="00BB11D6">
        <w:rPr>
          <w:rFonts w:ascii="Arial" w:hAnsi="Arial" w:cs="Arial"/>
          <w:color w:val="000000" w:themeColor="text1"/>
        </w:rPr>
        <w:t xml:space="preserve"> </w:t>
      </w:r>
    </w:p>
    <w:p w14:paraId="642D17F9"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rPr>
          <w:rFonts w:ascii="Arial" w:eastAsia="Arial" w:hAnsi="Arial" w:cs="Arial"/>
          <w:b/>
          <w:bCs/>
          <w:sz w:val="22"/>
          <w:szCs w:val="22"/>
          <w:u w:color="000000"/>
        </w:rPr>
      </w:pPr>
    </w:p>
    <w:p w14:paraId="642D17FA"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12" w:lineRule="auto"/>
        <w:jc w:val="both"/>
        <w:rPr>
          <w:rFonts w:ascii="Arial" w:eastAsia="Arial" w:hAnsi="Arial" w:cs="Arial"/>
          <w:b/>
          <w:bCs/>
          <w:kern w:val="24"/>
          <w:sz w:val="20"/>
          <w:szCs w:val="20"/>
          <w:u w:color="000000"/>
        </w:rPr>
      </w:pPr>
      <w:r w:rsidRPr="00330E3C">
        <w:rPr>
          <w:rFonts w:ascii="Arial" w:hAnsi="Arial"/>
          <w:b/>
          <w:bCs/>
          <w:kern w:val="24"/>
          <w:sz w:val="20"/>
          <w:szCs w:val="20"/>
          <w:u w:color="000000"/>
        </w:rPr>
        <w:t>EPG – Smarter Connected Logistics</w:t>
      </w:r>
    </w:p>
    <w:p w14:paraId="642D17FC" w14:textId="6180D5C8" w:rsidR="00F742A0" w:rsidRPr="00F050CF" w:rsidRDefault="003115BA" w:rsidP="00F050CF">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60" w:lineRule="auto"/>
        <w:jc w:val="both"/>
        <w:rPr>
          <w:rFonts w:ascii="Arial" w:eastAsia="Arial" w:hAnsi="Arial" w:cs="Arial"/>
          <w:sz w:val="20"/>
          <w:szCs w:val="20"/>
          <w:u w:color="000000"/>
        </w:rPr>
      </w:pPr>
      <w:r w:rsidRPr="00330E3C">
        <w:rPr>
          <w:rFonts w:ascii="Arial" w:hAnsi="Arial"/>
          <w:sz w:val="20"/>
          <w:szCs w:val="20"/>
          <w:u w:color="000000"/>
        </w:rPr>
        <w:t>EPG is a leading international provider for a comprehensive Supply Chain Execution Suite (EPG ONE</w:t>
      </w:r>
      <w:r w:rsidRPr="00330E3C">
        <w:rPr>
          <w:rFonts w:ascii="Arial" w:hAnsi="Arial"/>
          <w:color w:val="202124"/>
          <w:sz w:val="20"/>
          <w:szCs w:val="20"/>
          <w:u w:color="202124"/>
          <w:shd w:val="clear" w:color="auto" w:fill="FFFFFF"/>
        </w:rPr>
        <w:t>™</w:t>
      </w:r>
      <w:r w:rsidRPr="00330E3C">
        <w:rPr>
          <w:rFonts w:ascii="Arial" w:hAnsi="Arial"/>
          <w:sz w:val="20"/>
          <w:szCs w:val="20"/>
          <w:u w:color="000000"/>
        </w:rPr>
        <w:t xml:space="preserve">) and employs </w:t>
      </w:r>
      <w:r w:rsidR="00F050CF">
        <w:rPr>
          <w:rFonts w:ascii="Arial" w:hAnsi="Arial"/>
          <w:sz w:val="20"/>
          <w:szCs w:val="20"/>
          <w:u w:color="000000"/>
        </w:rPr>
        <w:t>1,000</w:t>
      </w:r>
      <w:r w:rsidRPr="00330E3C">
        <w:rPr>
          <w:rFonts w:ascii="Arial" w:hAnsi="Arial"/>
          <w:sz w:val="20"/>
          <w:szCs w:val="20"/>
          <w:u w:color="000000"/>
        </w:rPr>
        <w:t xml:space="preserve"> people at 2</w:t>
      </w:r>
      <w:r>
        <w:rPr>
          <w:rFonts w:ascii="Arial" w:hAnsi="Arial"/>
          <w:sz w:val="20"/>
          <w:szCs w:val="20"/>
          <w:u w:color="000000"/>
        </w:rPr>
        <w:t>3</w:t>
      </w:r>
      <w:r w:rsidRPr="00330E3C">
        <w:rPr>
          <w:rFonts w:ascii="Arial" w:hAnsi="Arial"/>
          <w:sz w:val="20"/>
          <w:szCs w:val="20"/>
          <w:u w:color="000000"/>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642D17FD"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Fonts w:ascii="Times New Roman" w:eastAsia="Times New Roman" w:hAnsi="Times New Roman" w:cs="Times New Roman"/>
          <w:sz w:val="20"/>
          <w:szCs w:val="20"/>
          <w:u w:color="000000"/>
        </w:rPr>
      </w:pPr>
    </w:p>
    <w:p w14:paraId="642D17FE"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8"/>
        <w:rPr>
          <w:rFonts w:ascii="Arial" w:eastAsia="Arial" w:hAnsi="Arial" w:cs="Arial"/>
          <w:b/>
          <w:bCs/>
          <w:sz w:val="22"/>
          <w:szCs w:val="22"/>
          <w:u w:color="000000"/>
        </w:rPr>
      </w:pPr>
      <w:r w:rsidRPr="00330E3C">
        <w:rPr>
          <w:rFonts w:ascii="Arial" w:hAnsi="Arial"/>
          <w:b/>
          <w:bCs/>
          <w:sz w:val="22"/>
          <w:szCs w:val="22"/>
          <w:u w:color="000000"/>
        </w:rPr>
        <w:t xml:space="preserve">Company Contact </w:t>
      </w:r>
    </w:p>
    <w:p w14:paraId="642D17FF"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EPG – Ehrhardt Partner Group</w:t>
      </w:r>
    </w:p>
    <w:p w14:paraId="642D1800"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Dennis Kunz</w:t>
      </w:r>
    </w:p>
    <w:p w14:paraId="642D1801"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 xml:space="preserve">Tel.: (+49) 67 42-87 27 0 </w:t>
      </w:r>
    </w:p>
    <w:p w14:paraId="642D1802"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E-Mail: presse@epg.com • Internet: www.epg.com</w:t>
      </w:r>
    </w:p>
    <w:p w14:paraId="642D1803" w14:textId="77777777" w:rsidR="00F742A0"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p>
    <w:p w14:paraId="642D1804"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2"/>
        <w:rPr>
          <w:rFonts w:ascii="Arial" w:eastAsia="Arial" w:hAnsi="Arial" w:cs="Arial"/>
          <w:b/>
          <w:bCs/>
          <w:sz w:val="22"/>
          <w:szCs w:val="22"/>
          <w:u w:color="000000"/>
        </w:rPr>
      </w:pPr>
      <w:r w:rsidRPr="00330E3C">
        <w:rPr>
          <w:rFonts w:ascii="Arial" w:hAnsi="Arial"/>
          <w:b/>
          <w:bCs/>
          <w:sz w:val="22"/>
          <w:szCs w:val="22"/>
          <w:u w:color="000000"/>
        </w:rPr>
        <w:t>Press Contact</w:t>
      </w:r>
    </w:p>
    <w:p w14:paraId="642D1805"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Rebecca Schlag • BFOUND GmbH</w:t>
      </w:r>
    </w:p>
    <w:p w14:paraId="642D1806"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Alte Römerstraße 3 • D-56154 Boppard-Buchholz</w:t>
      </w:r>
    </w:p>
    <w:p w14:paraId="642D1807"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Tel.: (+49) 67 42-87 27 50 00 • Fax: (+49) 67 42-87 27 50</w:t>
      </w:r>
    </w:p>
    <w:p w14:paraId="642D1808"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lang w:val="de-DE"/>
        </w:rPr>
      </w:pPr>
      <w:r>
        <w:rPr>
          <w:rFonts w:ascii="Arial" w:hAnsi="Arial"/>
          <w:kern w:val="24"/>
          <w:sz w:val="20"/>
          <w:szCs w:val="20"/>
          <w:u w:color="000000"/>
          <w:lang w:val="de-DE"/>
        </w:rPr>
        <w:t>E-Mail: rebecca.schlag@bfound.com • presse@epg.com • Internet: www.bfound.com</w:t>
      </w:r>
      <w:bookmarkEnd w:id="0"/>
    </w:p>
    <w:sectPr w:rsidR="00F742A0" w:rsidRPr="00330E3C" w:rsidSect="00BD0CC0">
      <w:headerReference w:type="default" r:id="rId9"/>
      <w:pgSz w:w="11906" w:h="16838"/>
      <w:pgMar w:top="2387" w:right="1983"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58EC" w14:textId="77777777" w:rsidR="00BD0CC0" w:rsidRDefault="00BD0CC0">
      <w:r>
        <w:separator/>
      </w:r>
    </w:p>
  </w:endnote>
  <w:endnote w:type="continuationSeparator" w:id="0">
    <w:p w14:paraId="5BD321DF" w14:textId="77777777" w:rsidR="00BD0CC0" w:rsidRDefault="00BD0CC0">
      <w:r>
        <w:continuationSeparator/>
      </w:r>
    </w:p>
  </w:endnote>
  <w:endnote w:type="continuationNotice" w:id="1">
    <w:p w14:paraId="3F58145E" w14:textId="77777777" w:rsidR="00F83041" w:rsidRDefault="00F83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FEC7" w14:textId="77777777" w:rsidR="00BD0CC0" w:rsidRDefault="00BD0CC0">
      <w:r>
        <w:separator/>
      </w:r>
    </w:p>
  </w:footnote>
  <w:footnote w:type="continuationSeparator" w:id="0">
    <w:p w14:paraId="38284820" w14:textId="77777777" w:rsidR="00BD0CC0" w:rsidRDefault="00BD0CC0">
      <w:r>
        <w:continuationSeparator/>
      </w:r>
    </w:p>
  </w:footnote>
  <w:footnote w:type="continuationNotice" w:id="1">
    <w:p w14:paraId="57B37870" w14:textId="77777777" w:rsidR="00F83041" w:rsidRDefault="00F83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EDEA" w14:textId="4ADF6EB6" w:rsidR="00701970" w:rsidRPr="008817D6" w:rsidRDefault="005E1908" w:rsidP="008817D6">
    <w:pPr>
      <w:pStyle w:val="Kopfzeile"/>
      <w:tabs>
        <w:tab w:val="clear" w:pos="4513"/>
        <w:tab w:val="clear" w:pos="9026"/>
        <w:tab w:val="left" w:pos="7230"/>
      </w:tabs>
      <w:spacing w:before="240"/>
      <w:rPr>
        <w:rFonts w:ascii="Arial" w:hAnsi="Arial" w:cs="Arial Unicode MS"/>
        <w:b/>
        <w:bCs/>
        <w:color w:val="7F7F7F"/>
        <w:sz w:val="40"/>
        <w:szCs w:val="40"/>
        <w:u w:color="7F7F7F"/>
        <w:lang w:val="de-DE"/>
      </w:rPr>
    </w:pPr>
    <w:r w:rsidRPr="008817D6">
      <w:rPr>
        <w:rFonts w:ascii="Arial" w:hAnsi="Arial" w:cs="Arial Unicode MS"/>
        <w:b/>
        <w:bCs/>
        <w:noProof/>
        <w:color w:val="7F7F7F"/>
        <w:sz w:val="40"/>
        <w:szCs w:val="40"/>
        <w:u w:color="7F7F7F"/>
        <w:lang w:val="de-DE"/>
      </w:rPr>
      <w:drawing>
        <wp:anchor distT="152400" distB="152400" distL="152400" distR="152400" simplePos="0" relativeHeight="251658240" behindDoc="1" locked="0" layoutInCell="1" allowOverlap="1" wp14:anchorId="0DB81046" wp14:editId="7A41DFB6">
          <wp:simplePos x="0" y="0"/>
          <wp:positionH relativeFrom="page">
            <wp:posOffset>4987290</wp:posOffset>
          </wp:positionH>
          <wp:positionV relativeFrom="page">
            <wp:posOffset>243840</wp:posOffset>
          </wp:positionV>
          <wp:extent cx="1844675" cy="842645"/>
          <wp:effectExtent l="0" t="0" r="0" b="0"/>
          <wp:wrapNone/>
          <wp:docPr id="199661020" name="Grafik 199661020"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sidRPr="008817D6">
      <w:rPr>
        <w:rFonts w:ascii="Arial" w:hAnsi="Arial" w:cs="Arial Unicode MS"/>
        <w:b/>
        <w:bCs/>
        <w:color w:val="7F7F7F"/>
        <w:sz w:val="40"/>
        <w:szCs w:val="40"/>
        <w:u w:color="7F7F7F"/>
        <w:lang w:val="de-DE"/>
      </w:rPr>
      <w:t>Press releas</w:t>
    </w:r>
    <w:r w:rsidR="008817D6">
      <w:rPr>
        <w:rFonts w:ascii="Arial" w:hAnsi="Arial" w:cs="Arial Unicode MS"/>
        <w:b/>
        <w:bCs/>
        <w:color w:val="7F7F7F"/>
        <w:sz w:val="40"/>
        <w:szCs w:val="40"/>
        <w:u w:color="7F7F7F"/>
        <w:lang w:val="de-DE"/>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A0"/>
    <w:rsid w:val="00025CF7"/>
    <w:rsid w:val="000B595A"/>
    <w:rsid w:val="000C79EB"/>
    <w:rsid w:val="001124A5"/>
    <w:rsid w:val="00136D76"/>
    <w:rsid w:val="001C1BA7"/>
    <w:rsid w:val="001D71FF"/>
    <w:rsid w:val="0025338E"/>
    <w:rsid w:val="002B74B2"/>
    <w:rsid w:val="003115BA"/>
    <w:rsid w:val="00330E3C"/>
    <w:rsid w:val="003A4040"/>
    <w:rsid w:val="004027FF"/>
    <w:rsid w:val="00464C13"/>
    <w:rsid w:val="00584EA3"/>
    <w:rsid w:val="005E1908"/>
    <w:rsid w:val="006642E4"/>
    <w:rsid w:val="00701970"/>
    <w:rsid w:val="0078587D"/>
    <w:rsid w:val="008817D6"/>
    <w:rsid w:val="008857CF"/>
    <w:rsid w:val="00971E38"/>
    <w:rsid w:val="00AE6152"/>
    <w:rsid w:val="00B26EB0"/>
    <w:rsid w:val="00BB11D6"/>
    <w:rsid w:val="00BD0CC0"/>
    <w:rsid w:val="00C640F8"/>
    <w:rsid w:val="00D23F07"/>
    <w:rsid w:val="00D247F9"/>
    <w:rsid w:val="00D87A38"/>
    <w:rsid w:val="00DB3325"/>
    <w:rsid w:val="00E028E4"/>
    <w:rsid w:val="00EA3F31"/>
    <w:rsid w:val="00EF397D"/>
    <w:rsid w:val="00F050CF"/>
    <w:rsid w:val="00F36F22"/>
    <w:rsid w:val="00F41663"/>
    <w:rsid w:val="00F57DCD"/>
    <w:rsid w:val="00F742A0"/>
    <w:rsid w:val="00F83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D17D6"/>
  <w15:docId w15:val="{A62970D7-CFF5-40F1-A554-59E8B60F9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Kopfzeile">
    <w:name w:val="header"/>
    <w:basedOn w:val="Standard"/>
    <w:link w:val="KopfzeileZchn"/>
    <w:unhideWhenUsed/>
    <w:rsid w:val="00701970"/>
    <w:pPr>
      <w:tabs>
        <w:tab w:val="center" w:pos="4513"/>
        <w:tab w:val="right" w:pos="9026"/>
      </w:tabs>
    </w:pPr>
  </w:style>
  <w:style w:type="character" w:customStyle="1" w:styleId="KopfzeileZchn">
    <w:name w:val="Kopfzeile Zchn"/>
    <w:basedOn w:val="Absatz-Standardschriftart"/>
    <w:link w:val="Kopfzeile"/>
    <w:uiPriority w:val="99"/>
    <w:rsid w:val="00701970"/>
    <w:rPr>
      <w:sz w:val="24"/>
      <w:szCs w:val="24"/>
      <w:lang w:val="en-US" w:eastAsia="en-US"/>
    </w:rPr>
  </w:style>
  <w:style w:type="paragraph" w:styleId="Fuzeile">
    <w:name w:val="footer"/>
    <w:basedOn w:val="Standard"/>
    <w:link w:val="FuzeileZchn"/>
    <w:uiPriority w:val="99"/>
    <w:unhideWhenUsed/>
    <w:rsid w:val="00701970"/>
    <w:pPr>
      <w:tabs>
        <w:tab w:val="center" w:pos="4513"/>
        <w:tab w:val="right" w:pos="9026"/>
      </w:tabs>
    </w:pPr>
  </w:style>
  <w:style w:type="character" w:customStyle="1" w:styleId="FuzeileZchn">
    <w:name w:val="Fußzeile Zchn"/>
    <w:basedOn w:val="Absatz-Standardschriftart"/>
    <w:link w:val="Fuzeile"/>
    <w:uiPriority w:val="99"/>
    <w:rsid w:val="00701970"/>
    <w:rPr>
      <w:sz w:val="24"/>
      <w:szCs w:val="24"/>
      <w:lang w:val="en-US" w:eastAsia="en-US"/>
    </w:rPr>
  </w:style>
  <w:style w:type="paragraph" w:customStyle="1" w:styleId="paragraph">
    <w:name w:val="paragraph"/>
    <w:basedOn w:val="Standard"/>
    <w:rsid w:val="000B595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Absatz-Standardschriftart"/>
    <w:rsid w:val="000B595A"/>
  </w:style>
  <w:style w:type="character" w:styleId="Fett">
    <w:name w:val="Strong"/>
    <w:basedOn w:val="Absatz-Standardschriftart"/>
    <w:uiPriority w:val="22"/>
    <w:qFormat/>
    <w:rsid w:val="00584E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6ce880602bf840ea534401c0f0f5993">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9d99e05089e26d3b675f72d007444c05"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36511b39-d618-4030-988a-b42f44e5574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4651B-A8FE-4DFB-86C5-876C5D259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90D565-9131-42C2-8EAA-17BAA8AEC059}">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1888ca2a-2fb3-4603-a330-5dc9ad42859c"/>
    <ds:schemaRef ds:uri="http://purl.org/dc/terms/"/>
    <ds:schemaRef ds:uri="4783a32a-f1c2-464e-9d86-52b6d0d47efa"/>
    <ds:schemaRef ds:uri="http://schemas.openxmlformats.org/package/2006/metadata/core-properties"/>
    <ds:schemaRef ds:uri="bf2fcf71-2ab9-4dcb-aafb-8f36f3e4edfa"/>
    <ds:schemaRef ds:uri="http://www.w3.org/XML/1998/namespace"/>
    <ds:schemaRef ds:uri="36511b39-d618-4030-988a-b42f44e55749"/>
  </ds:schemaRefs>
</ds:datastoreItem>
</file>

<file path=customXml/itemProps3.xml><?xml version="1.0" encoding="utf-8"?>
<ds:datastoreItem xmlns:ds="http://schemas.openxmlformats.org/officeDocument/2006/customXml" ds:itemID="{2BA08CB0-1A17-459B-8353-0485EFA9E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 Elena</dc:creator>
  <cp:keywords/>
  <cp:lastModifiedBy>Schlag, Rebecca</cp:lastModifiedBy>
  <cp:revision>3</cp:revision>
  <cp:lastPrinted>2024-03-08T12:50:00Z</cp:lastPrinted>
  <dcterms:created xsi:type="dcterms:W3CDTF">2024-03-08T12:51:00Z</dcterms:created>
  <dcterms:modified xsi:type="dcterms:W3CDTF">2024-03-26T09:02:00Z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