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DAB9" w14:textId="496C5A7B" w:rsidR="22BA37E1" w:rsidRPr="00135AB0" w:rsidRDefault="22BA37E1" w:rsidP="54DD3802">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jc w:val="center"/>
        <w:rPr>
          <w:b/>
          <w:bCs/>
          <w:color w:val="000000" w:themeColor="text1"/>
          <w:lang w:val="en-US"/>
        </w:rPr>
      </w:pPr>
    </w:p>
    <w:p w14:paraId="6602AF8B" w14:textId="77777777" w:rsid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center"/>
        <w:rPr>
          <w:rFonts w:eastAsia="Calibri"/>
          <w:b/>
          <w:bCs/>
          <w:color w:val="0D0D0D" w:themeColor="text1" w:themeTint="F2"/>
          <w:sz w:val="36"/>
          <w:szCs w:val="36"/>
          <w:lang w:val="fr-FR"/>
        </w:rPr>
      </w:pPr>
    </w:p>
    <w:p w14:paraId="094D925D" w14:textId="22F9D8E6" w:rsidR="00135AB0" w:rsidRP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center"/>
        <w:rPr>
          <w:rFonts w:eastAsia="Calibri"/>
          <w:b/>
          <w:bCs/>
          <w:color w:val="0D0D0D" w:themeColor="text1" w:themeTint="F2"/>
          <w:lang w:val="fr-FR"/>
        </w:rPr>
      </w:pPr>
      <w:r w:rsidRPr="00135AB0">
        <w:rPr>
          <w:rFonts w:eastAsia="Calibri"/>
          <w:b/>
          <w:bCs/>
          <w:color w:val="0D0D0D" w:themeColor="text1" w:themeTint="F2"/>
          <w:sz w:val="36"/>
          <w:szCs w:val="36"/>
          <w:lang w:val="fr-FR"/>
        </w:rPr>
        <w:t>EPG reconnue comme Challenger dans le Magic Quadrant™ 2026 de Gartner® pour les WMS</w:t>
      </w:r>
      <w:r w:rsidRPr="00135AB0">
        <w:rPr>
          <w:rFonts w:eastAsia="Calibri"/>
          <w:b/>
          <w:bCs/>
          <w:color w:val="0D0D0D" w:themeColor="text1" w:themeTint="F2"/>
          <w:lang w:val="fr-FR"/>
        </w:rPr>
        <w:br/>
      </w:r>
      <w:r w:rsidRPr="00135AB0">
        <w:rPr>
          <w:rFonts w:eastAsia="Calibri"/>
          <w:b/>
          <w:bCs/>
          <w:i/>
          <w:iCs/>
          <w:color w:val="0D0D0D" w:themeColor="text1" w:themeTint="F2"/>
          <w:lang w:val="fr-FR"/>
        </w:rPr>
        <w:t xml:space="preserve">Reconnaissance du secteur pour l’expertise en </w:t>
      </w:r>
      <w:proofErr w:type="spellStart"/>
      <w:r w:rsidRPr="00135AB0">
        <w:rPr>
          <w:rFonts w:eastAsia="Calibri"/>
          <w:b/>
          <w:bCs/>
          <w:i/>
          <w:iCs/>
          <w:color w:val="0D0D0D" w:themeColor="text1" w:themeTint="F2"/>
          <w:lang w:val="fr-FR"/>
        </w:rPr>
        <w:t>supply</w:t>
      </w:r>
      <w:proofErr w:type="spellEnd"/>
      <w:r w:rsidRPr="00135AB0">
        <w:rPr>
          <w:rFonts w:eastAsia="Calibri"/>
          <w:b/>
          <w:bCs/>
          <w:i/>
          <w:iCs/>
          <w:color w:val="0D0D0D" w:themeColor="text1" w:themeTint="F2"/>
          <w:lang w:val="fr-FR"/>
        </w:rPr>
        <w:t xml:space="preserve"> </w:t>
      </w:r>
      <w:proofErr w:type="spellStart"/>
      <w:r w:rsidRPr="00135AB0">
        <w:rPr>
          <w:rFonts w:eastAsia="Calibri"/>
          <w:b/>
          <w:bCs/>
          <w:i/>
          <w:iCs/>
          <w:color w:val="0D0D0D" w:themeColor="text1" w:themeTint="F2"/>
          <w:lang w:val="fr-FR"/>
        </w:rPr>
        <w:t>chain</w:t>
      </w:r>
      <w:proofErr w:type="spellEnd"/>
    </w:p>
    <w:p w14:paraId="1B2A89E6" w14:textId="77777777" w:rsid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p>
    <w:p w14:paraId="7FF4C0F7" w14:textId="49F8FC9E" w:rsid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r w:rsidRPr="00135AB0">
        <w:rPr>
          <w:rFonts w:eastAsia="Calibri"/>
          <w:color w:val="0D0D0D" w:themeColor="text1" w:themeTint="F2"/>
          <w:lang w:val="fr-FR"/>
        </w:rPr>
        <w:t xml:space="preserve">EPG (Ehrhardt Partner Group), leader mondial des technologies unifiées d’exécution de la </w:t>
      </w:r>
      <w:proofErr w:type="spellStart"/>
      <w:r w:rsidRPr="00135AB0">
        <w:rPr>
          <w:rFonts w:eastAsia="Calibri"/>
          <w:color w:val="0D0D0D" w:themeColor="text1" w:themeTint="F2"/>
          <w:lang w:val="fr-FR"/>
        </w:rPr>
        <w:t>supply</w:t>
      </w:r>
      <w:proofErr w:type="spellEnd"/>
      <w:r w:rsidRPr="00135AB0">
        <w:rPr>
          <w:rFonts w:eastAsia="Calibri"/>
          <w:color w:val="0D0D0D" w:themeColor="text1" w:themeTint="F2"/>
          <w:lang w:val="fr-FR"/>
        </w:rPr>
        <w:t xml:space="preserve"> </w:t>
      </w:r>
      <w:proofErr w:type="spellStart"/>
      <w:r w:rsidRPr="00135AB0">
        <w:rPr>
          <w:rFonts w:eastAsia="Calibri"/>
          <w:color w:val="0D0D0D" w:themeColor="text1" w:themeTint="F2"/>
          <w:lang w:val="fr-FR"/>
        </w:rPr>
        <w:t>chain</w:t>
      </w:r>
      <w:proofErr w:type="spellEnd"/>
      <w:r w:rsidRPr="00135AB0">
        <w:rPr>
          <w:rFonts w:eastAsia="Calibri"/>
          <w:color w:val="0D0D0D" w:themeColor="text1" w:themeTint="F2"/>
          <w:lang w:val="fr-FR"/>
        </w:rPr>
        <w:t xml:space="preserve"> et de gestion d’entrepôt, a annoncé aujourd’hui avoir été nommée Challenger dans le Magic Quadrant™ de Gartner® pour les systèmes de gestion d’entrepôt (WMS). Il s’agit de la cinquième reconnaissance consécutive d’EPG en tant que Challenger, saluant ses capacités d’exécution et l’exhaustivité de sa vision.</w:t>
      </w:r>
    </w:p>
    <w:p w14:paraId="4FAC68C9" w14:textId="77777777" w:rsidR="00135AB0" w:rsidRP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p>
    <w:p w14:paraId="6B9BB2FF" w14:textId="77777777" w:rsid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r w:rsidRPr="00135AB0">
        <w:rPr>
          <w:rFonts w:eastAsia="Calibri"/>
          <w:color w:val="0D0D0D" w:themeColor="text1" w:themeTint="F2"/>
          <w:lang w:val="fr-FR"/>
        </w:rPr>
        <w:t xml:space="preserve">« Nous pensons que la reconnaissance d’EPG dans le Magic Quadrant™ 2026 de Gartner® pour les WMS reflète notre engagement continu en matière d’innovation produit et de croissance mondiale de nos clients », déclare Marco Ehrhardt, président d’EPG. « Nous innovons en permanence dans notre suite d’exécution de la </w:t>
      </w:r>
      <w:proofErr w:type="spellStart"/>
      <w:r w:rsidRPr="00135AB0">
        <w:rPr>
          <w:rFonts w:eastAsia="Calibri"/>
          <w:color w:val="0D0D0D" w:themeColor="text1" w:themeTint="F2"/>
          <w:lang w:val="fr-FR"/>
        </w:rPr>
        <w:t>supply</w:t>
      </w:r>
      <w:proofErr w:type="spellEnd"/>
      <w:r w:rsidRPr="00135AB0">
        <w:rPr>
          <w:rFonts w:eastAsia="Calibri"/>
          <w:color w:val="0D0D0D" w:themeColor="text1" w:themeTint="F2"/>
          <w:lang w:val="fr-FR"/>
        </w:rPr>
        <w:t xml:space="preserve"> </w:t>
      </w:r>
      <w:proofErr w:type="spellStart"/>
      <w:r w:rsidRPr="00135AB0">
        <w:rPr>
          <w:rFonts w:eastAsia="Calibri"/>
          <w:color w:val="0D0D0D" w:themeColor="text1" w:themeTint="F2"/>
          <w:lang w:val="fr-FR"/>
        </w:rPr>
        <w:t>chain</w:t>
      </w:r>
      <w:proofErr w:type="spellEnd"/>
      <w:r w:rsidRPr="00135AB0">
        <w:rPr>
          <w:rFonts w:eastAsia="Calibri"/>
          <w:color w:val="0D0D0D" w:themeColor="text1" w:themeTint="F2"/>
          <w:lang w:val="fr-FR"/>
        </w:rPr>
        <w:t>. À mesure que le marché évolue, les solutions d’EPG évoluent en parallèle, garantissant à nos clients les outils nécessaires pour optimiser leurs performances et intégrer de plus en plus des analyses basées sur l’IA ainsi qu’une automatisation intelligente. »</w:t>
      </w:r>
    </w:p>
    <w:p w14:paraId="4BB3B317" w14:textId="77777777" w:rsidR="00135AB0" w:rsidRP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p>
    <w:p w14:paraId="4F2ED6CC" w14:textId="77777777" w:rsid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r w:rsidRPr="00135AB0">
        <w:rPr>
          <w:rFonts w:eastAsia="Calibri"/>
          <w:color w:val="0D0D0D" w:themeColor="text1" w:themeTint="F2"/>
          <w:lang w:val="fr-FR"/>
        </w:rPr>
        <w:t xml:space="preserve">La suite d’exécution de la </w:t>
      </w:r>
      <w:proofErr w:type="spellStart"/>
      <w:r w:rsidRPr="00135AB0">
        <w:rPr>
          <w:rFonts w:eastAsia="Calibri"/>
          <w:color w:val="0D0D0D" w:themeColor="text1" w:themeTint="F2"/>
          <w:lang w:val="fr-FR"/>
        </w:rPr>
        <w:t>supply</w:t>
      </w:r>
      <w:proofErr w:type="spellEnd"/>
      <w:r w:rsidRPr="00135AB0">
        <w:rPr>
          <w:rFonts w:eastAsia="Calibri"/>
          <w:color w:val="0D0D0D" w:themeColor="text1" w:themeTint="F2"/>
          <w:lang w:val="fr-FR"/>
        </w:rPr>
        <w:t xml:space="preserve"> </w:t>
      </w:r>
      <w:proofErr w:type="spellStart"/>
      <w:r w:rsidRPr="00135AB0">
        <w:rPr>
          <w:rFonts w:eastAsia="Calibri"/>
          <w:color w:val="0D0D0D" w:themeColor="text1" w:themeTint="F2"/>
          <w:lang w:val="fr-FR"/>
        </w:rPr>
        <w:t>chain</w:t>
      </w:r>
      <w:proofErr w:type="spellEnd"/>
      <w:r w:rsidRPr="00135AB0">
        <w:rPr>
          <w:rFonts w:eastAsia="Calibri"/>
          <w:color w:val="0D0D0D" w:themeColor="text1" w:themeTint="F2"/>
          <w:lang w:val="fr-FR"/>
        </w:rPr>
        <w:t xml:space="preserve"> d’EPG, EPG ONE, propose aux marques internationales une solution de bout en bout couvrant la gestion avancée des entrepôts, le contrôle des entrepôts, les solutions vocales, la planification intelligente des tournées, la gestion des effectifs, la gestion des contrats et de la facturation, ainsi qu’un puissant « </w:t>
      </w:r>
      <w:proofErr w:type="spellStart"/>
      <w:r w:rsidRPr="00135AB0">
        <w:rPr>
          <w:rFonts w:eastAsia="Calibri"/>
          <w:color w:val="0D0D0D" w:themeColor="text1" w:themeTint="F2"/>
          <w:lang w:val="fr-FR"/>
        </w:rPr>
        <w:t>supply</w:t>
      </w:r>
      <w:proofErr w:type="spellEnd"/>
      <w:r w:rsidRPr="00135AB0">
        <w:rPr>
          <w:rFonts w:eastAsia="Calibri"/>
          <w:color w:val="0D0D0D" w:themeColor="text1" w:themeTint="F2"/>
          <w:lang w:val="fr-FR"/>
        </w:rPr>
        <w:t xml:space="preserve"> </w:t>
      </w:r>
      <w:proofErr w:type="spellStart"/>
      <w:r w:rsidRPr="00135AB0">
        <w:rPr>
          <w:rFonts w:eastAsia="Calibri"/>
          <w:color w:val="0D0D0D" w:themeColor="text1" w:themeTint="F2"/>
          <w:lang w:val="fr-FR"/>
        </w:rPr>
        <w:t>chain</w:t>
      </w:r>
      <w:proofErr w:type="spellEnd"/>
      <w:r w:rsidRPr="00135AB0">
        <w:rPr>
          <w:rFonts w:eastAsia="Calibri"/>
          <w:color w:val="0D0D0D" w:themeColor="text1" w:themeTint="F2"/>
          <w:lang w:val="fr-FR"/>
        </w:rPr>
        <w:t xml:space="preserve"> control </w:t>
      </w:r>
      <w:proofErr w:type="spellStart"/>
      <w:r w:rsidRPr="00135AB0">
        <w:rPr>
          <w:rFonts w:eastAsia="Calibri"/>
          <w:color w:val="0D0D0D" w:themeColor="text1" w:themeTint="F2"/>
          <w:lang w:val="fr-FR"/>
        </w:rPr>
        <w:t>tower</w:t>
      </w:r>
      <w:proofErr w:type="spellEnd"/>
      <w:r w:rsidRPr="00135AB0">
        <w:rPr>
          <w:rFonts w:eastAsia="Calibri"/>
          <w:color w:val="0D0D0D" w:themeColor="text1" w:themeTint="F2"/>
          <w:lang w:val="fr-FR"/>
        </w:rPr>
        <w:t xml:space="preserve"> ». Enrichis par EPG AURA, ces systèmes sont interconnectés via une couche intelligente offrant des analyses exploitables et favorisant des décisions plus rapides et plus pertinentes.</w:t>
      </w:r>
    </w:p>
    <w:p w14:paraId="053B632F" w14:textId="77777777" w:rsidR="00135AB0" w:rsidRP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p>
    <w:p w14:paraId="52F33B2E" w14:textId="77777777" w:rsid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r w:rsidRPr="00135AB0">
        <w:rPr>
          <w:rFonts w:eastAsia="Calibri"/>
          <w:color w:val="0D0D0D" w:themeColor="text1" w:themeTint="F2"/>
          <w:lang w:val="fr-FR"/>
        </w:rPr>
        <w:t xml:space="preserve">Alors que les attentes des consommateurs et la complexité logistique continuent de croître, les technologies efficaces de </w:t>
      </w:r>
      <w:proofErr w:type="spellStart"/>
      <w:r w:rsidRPr="00135AB0">
        <w:rPr>
          <w:rFonts w:eastAsia="Calibri"/>
          <w:color w:val="0D0D0D" w:themeColor="text1" w:themeTint="F2"/>
          <w:lang w:val="fr-FR"/>
        </w:rPr>
        <w:t>supply</w:t>
      </w:r>
      <w:proofErr w:type="spellEnd"/>
      <w:r w:rsidRPr="00135AB0">
        <w:rPr>
          <w:rFonts w:eastAsia="Calibri"/>
          <w:color w:val="0D0D0D" w:themeColor="text1" w:themeTint="F2"/>
          <w:lang w:val="fr-FR"/>
        </w:rPr>
        <w:t xml:space="preserve"> </w:t>
      </w:r>
      <w:proofErr w:type="spellStart"/>
      <w:r w:rsidRPr="00135AB0">
        <w:rPr>
          <w:rFonts w:eastAsia="Calibri"/>
          <w:color w:val="0D0D0D" w:themeColor="text1" w:themeTint="F2"/>
          <w:lang w:val="fr-FR"/>
        </w:rPr>
        <w:t>chain</w:t>
      </w:r>
      <w:proofErr w:type="spellEnd"/>
      <w:r w:rsidRPr="00135AB0">
        <w:rPr>
          <w:rFonts w:eastAsia="Calibri"/>
          <w:color w:val="0D0D0D" w:themeColor="text1" w:themeTint="F2"/>
          <w:lang w:val="fr-FR"/>
        </w:rPr>
        <w:t xml:space="preserve"> n’ont jamais été aussi essentielles. La solution WMS d’EPG permet aux organisations internationales d’optimiser leurs opérations à tous les niveaux de complexité et d’échelle. Dans divers secteurs, EPG fournit des logiciels robustes permettant de maximiser les performances, de répondre aux exigences des consommateurs finaux et </w:t>
      </w:r>
      <w:r w:rsidRPr="00135AB0">
        <w:rPr>
          <w:rFonts w:eastAsia="Calibri"/>
          <w:color w:val="0D0D0D" w:themeColor="text1" w:themeTint="F2"/>
          <w:lang w:val="fr-FR"/>
        </w:rPr>
        <w:lastRenderedPageBreak/>
        <w:t>d’intégrer une visibilité assistée par l’IA, une orchestration avancée et un soutien décisionnel adaptatif.</w:t>
      </w:r>
    </w:p>
    <w:p w14:paraId="2E458A66" w14:textId="77777777" w:rsidR="00135AB0" w:rsidRP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p>
    <w:p w14:paraId="58324334" w14:textId="77777777" w:rsidR="00135AB0" w:rsidRPr="00135AB0" w:rsidRDefault="00135AB0" w:rsidP="00135AB0">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lang w:val="fr-FR"/>
        </w:rPr>
      </w:pPr>
      <w:r w:rsidRPr="00135AB0">
        <w:rPr>
          <w:rFonts w:eastAsia="Calibri"/>
          <w:color w:val="0D0D0D" w:themeColor="text1" w:themeTint="F2"/>
          <w:lang w:val="fr-FR"/>
        </w:rPr>
        <w:t>Téléchargez le rapport Magic Quadrant™ 2026 de Gartner® et découvrez pourquoi EPG a été reconnue comme Challenger pour la cinquième fois consécutive sur epg.com.</w:t>
      </w:r>
    </w:p>
    <w:p w14:paraId="7BDCDDAA" w14:textId="77777777" w:rsidR="00B43D6A" w:rsidRPr="00135AB0" w:rsidRDefault="00291F80" w:rsidP="00B43D6A">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lang w:val="en-US"/>
        </w:rPr>
      </w:pPr>
      <w:r w:rsidRPr="00135AB0">
        <w:rPr>
          <w:lang w:val="en-US"/>
        </w:rPr>
        <w:t xml:space="preserve">Gartner, Magic Quadrant for Warehouse Management Systems, Simon Tunstall, Rishabh Narang, Federica Stufano, </w:t>
      </w:r>
      <w:r w:rsidR="0082526F" w:rsidRPr="00135AB0">
        <w:rPr>
          <w:lang w:val="en-US"/>
        </w:rPr>
        <w:t>29 April</w:t>
      </w:r>
      <w:r w:rsidRPr="00135AB0">
        <w:rPr>
          <w:lang w:val="en-US"/>
        </w:rPr>
        <w:t xml:space="preserve"> 202</w:t>
      </w:r>
      <w:r w:rsidR="00143934" w:rsidRPr="00135AB0">
        <w:rPr>
          <w:lang w:val="en-US"/>
        </w:rPr>
        <w:t>6</w:t>
      </w:r>
      <w:r w:rsidRPr="00135AB0">
        <w:rPr>
          <w:lang w:val="en-US"/>
        </w:rPr>
        <w:t>.</w:t>
      </w:r>
    </w:p>
    <w:p w14:paraId="3690935B" w14:textId="77777777" w:rsidR="00B43D6A" w:rsidRPr="00135AB0" w:rsidRDefault="00B43D6A" w:rsidP="00B43D6A">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lang w:val="en-US"/>
        </w:rPr>
      </w:pPr>
    </w:p>
    <w:p w14:paraId="01A95D4D" w14:textId="3865DB08" w:rsidR="00B43D6A" w:rsidRPr="00135AB0" w:rsidRDefault="0082526F" w:rsidP="00B43D6A">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sz w:val="18"/>
          <w:szCs w:val="18"/>
          <w:lang w:val="en-US"/>
        </w:rPr>
      </w:pPr>
      <w:r w:rsidRPr="00135AB0">
        <w:rPr>
          <w:sz w:val="18"/>
          <w:szCs w:val="18"/>
          <w:lang w:val="en-US"/>
        </w:rPr>
        <w:t>Gartner and Magic Quadrant are trademarks of Gartner, Inc. and/or its affiliates.</w:t>
      </w:r>
    </w:p>
    <w:p w14:paraId="71C89E17" w14:textId="77777777" w:rsidR="00B43D6A" w:rsidRPr="00135AB0" w:rsidRDefault="00B43D6A" w:rsidP="00B43D6A">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sz w:val="18"/>
          <w:szCs w:val="18"/>
          <w:lang w:val="en-US"/>
        </w:rPr>
      </w:pPr>
    </w:p>
    <w:p w14:paraId="79D59FF7" w14:textId="2B8393C4" w:rsidR="00B43D6A" w:rsidRPr="00135AB0" w:rsidRDefault="00B43D6A" w:rsidP="00B43D6A">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sz w:val="18"/>
          <w:szCs w:val="18"/>
          <w:lang w:val="en-US"/>
        </w:rPr>
      </w:pPr>
      <w:r w:rsidRPr="00135AB0">
        <w:rPr>
          <w:sz w:val="18"/>
          <w:szCs w:val="18"/>
          <w:lang w:val="en-US"/>
        </w:rPr>
        <w:t>G</w:t>
      </w:r>
      <w:r w:rsidR="0082526F" w:rsidRPr="00135AB0">
        <w:rPr>
          <w:sz w:val="18"/>
          <w:szCs w:val="18"/>
          <w:lang w:val="en-US"/>
        </w:rPr>
        <w:t>artner does not endorse any company, vendor, product or service depicted in its publications, and does not advise technology users to select only those vendors with the highest ratings or other designation. Gartner publications consist of the opinions of Gartner’s business and technology insights organization and should not be construed as statements of fact. Gartner disclaims all warranties, expressed or implied, with respect to this publication, including any warranties of merchantability or fitness for a particular purpose.</w:t>
      </w:r>
    </w:p>
    <w:p w14:paraId="6707A64C" w14:textId="77777777" w:rsidR="00B43D6A" w:rsidRPr="00135AB0" w:rsidRDefault="00B43D6A" w:rsidP="00B43D6A">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rPr>
          <w:sz w:val="18"/>
          <w:szCs w:val="18"/>
          <w:lang w:val="en-US"/>
        </w:rPr>
      </w:pPr>
    </w:p>
    <w:p w14:paraId="0A942873" w14:textId="457D3F62" w:rsidR="0076631B" w:rsidRPr="00BB2028" w:rsidRDefault="00291F80" w:rsidP="0076631B">
      <w:pPr>
        <w:pBdr>
          <w:top w:val="none" w:sz="0" w:space="0" w:color="E3E3E3"/>
          <w:left w:val="none" w:sz="0" w:space="0" w:color="E3E3E3"/>
          <w:bottom w:val="none" w:sz="0" w:space="31" w:color="E3E3E3"/>
          <w:right w:val="none" w:sz="0" w:space="0" w:color="E3E3E3"/>
          <w:between w:val="none" w:sz="0" w:space="0" w:color="E3E3E3"/>
        </w:pBdr>
        <w:shd w:val="clear" w:color="auto" w:fill="FFFFFF" w:themeFill="background1"/>
        <w:spacing w:line="360" w:lineRule="auto"/>
        <w:jc w:val="both"/>
        <w:textAlignment w:val="baseline"/>
        <w:rPr>
          <w:sz w:val="18"/>
          <w:szCs w:val="18"/>
          <w:lang w:val="fr-FR"/>
        </w:rPr>
      </w:pPr>
      <w:r w:rsidRPr="00135AB0">
        <w:rPr>
          <w:sz w:val="18"/>
          <w:szCs w:val="18"/>
          <w:lang w:val="en-US"/>
        </w:rPr>
        <w:t xml:space="preserve">This graphic was published by Gartner, Inc. as part of a larger research document and should be evaluated in the context of the entire document. </w:t>
      </w:r>
      <w:r w:rsidRPr="00BB2028">
        <w:rPr>
          <w:sz w:val="18"/>
          <w:szCs w:val="18"/>
          <w:lang w:val="fr-FR"/>
        </w:rPr>
        <w:t>The Gartner document is available upon request from EPG</w:t>
      </w:r>
      <w:r w:rsidR="15B61CDC" w:rsidRPr="00BB2028">
        <w:rPr>
          <w:sz w:val="18"/>
          <w:szCs w:val="18"/>
          <w:lang w:val="fr-FR"/>
        </w:rPr>
        <w:t>.</w:t>
      </w:r>
      <w:r w:rsidR="00177D1B" w:rsidRPr="00BB2028">
        <w:rPr>
          <w:rStyle w:val="eop"/>
          <w:color w:val="000000" w:themeColor="text1"/>
          <w:sz w:val="18"/>
          <w:szCs w:val="18"/>
          <w:lang w:val="fr-FR"/>
        </w:rPr>
        <w:t> </w:t>
      </w:r>
    </w:p>
    <w:p w14:paraId="70E081D1" w14:textId="77777777" w:rsidR="0076631B" w:rsidRPr="00360A12" w:rsidRDefault="0076631B" w:rsidP="00360A12">
      <w:pPr>
        <w:spacing w:line="360" w:lineRule="auto"/>
        <w:rPr>
          <w:lang w:val="fr-FR"/>
        </w:rPr>
      </w:pPr>
      <w:r w:rsidRPr="00360A12">
        <w:rPr>
          <w:b/>
          <w:bCs/>
          <w:lang w:val="fr-FR"/>
        </w:rPr>
        <w:t xml:space="preserve">EPG – </w:t>
      </w:r>
      <w:proofErr w:type="spellStart"/>
      <w:r w:rsidRPr="00360A12">
        <w:rPr>
          <w:b/>
          <w:bCs/>
          <w:lang w:val="fr-FR"/>
        </w:rPr>
        <w:t>Smarter</w:t>
      </w:r>
      <w:proofErr w:type="spellEnd"/>
      <w:r w:rsidRPr="00360A12">
        <w:rPr>
          <w:b/>
          <w:bCs/>
          <w:lang w:val="fr-FR"/>
        </w:rPr>
        <w:t xml:space="preserve"> </w:t>
      </w:r>
      <w:proofErr w:type="spellStart"/>
      <w:r w:rsidRPr="00360A12">
        <w:rPr>
          <w:b/>
          <w:bCs/>
          <w:lang w:val="fr-FR"/>
        </w:rPr>
        <w:t>Connected</w:t>
      </w:r>
      <w:proofErr w:type="spellEnd"/>
      <w:r w:rsidRPr="00360A12">
        <w:rPr>
          <w:b/>
          <w:bCs/>
          <w:lang w:val="fr-FR"/>
        </w:rPr>
        <w:t xml:space="preserve"> Logistics</w:t>
      </w:r>
      <w:r w:rsidRPr="00360A12">
        <w:rPr>
          <w:b/>
          <w:bCs/>
          <w:lang w:val="fr-FR"/>
        </w:rPr>
        <w:br/>
      </w:r>
      <w:r w:rsidRPr="00360A12">
        <w:rPr>
          <w:lang w:val="fr-FR"/>
        </w:rPr>
        <w:t xml:space="preserve">EPG est un éditeur de logiciels international spécialisé dans l'optimisation et l'automatisation de la </w:t>
      </w:r>
      <w:proofErr w:type="spellStart"/>
      <w:r w:rsidRPr="00360A12">
        <w:rPr>
          <w:lang w:val="fr-FR"/>
        </w:rPr>
        <w:t>supply</w:t>
      </w:r>
      <w:proofErr w:type="spellEnd"/>
      <w:r w:rsidRPr="00360A12">
        <w:rPr>
          <w:lang w:val="fr-FR"/>
        </w:rPr>
        <w:t xml:space="preserve"> </w:t>
      </w:r>
      <w:proofErr w:type="spellStart"/>
      <w:r w:rsidRPr="00360A12">
        <w:rPr>
          <w:lang w:val="fr-FR"/>
        </w:rPr>
        <w:t>chain</w:t>
      </w:r>
      <w:proofErr w:type="spellEnd"/>
      <w:r w:rsidRPr="00360A12">
        <w:rPr>
          <w:lang w:val="fr-FR"/>
        </w:rPr>
        <w:t xml:space="preserve"> (EPG ONE™), avec plus de 1 000 collaborateurs répartis sur 23 sites dans le monde. Le groupe accompagne plus de 1 600 clients grâce à des solutions WMS, WCS, WFM, TMS et Voice, couvrant l'ensemble du spectre logistique — des environnements manuels jusqu'aux opérations entièrement automatisées.</w:t>
      </w:r>
    </w:p>
    <w:p w14:paraId="6FE1180C" w14:textId="77777777" w:rsidR="0076631B" w:rsidRDefault="0076631B" w:rsidP="00360A12">
      <w:pPr>
        <w:spacing w:line="360" w:lineRule="auto"/>
        <w:rPr>
          <w:lang w:val="fr-FR"/>
        </w:rPr>
      </w:pPr>
      <w:r w:rsidRPr="00360A12">
        <w:rPr>
          <w:lang w:val="fr-FR"/>
        </w:rPr>
        <w:t xml:space="preserve">Son périmètre s'étend bien au-delà de l'entrepôt : EPG adresse l'intégralité de la chaîne d'approvisionnement, de la gestion des flux en entrepôt jusqu'au transport routier, en passant par la logistique aéroportuaire. Avec l'EPG AES™ Aviation </w:t>
      </w:r>
      <w:proofErr w:type="spellStart"/>
      <w:r w:rsidRPr="00360A12">
        <w:rPr>
          <w:lang w:val="fr-FR"/>
        </w:rPr>
        <w:t>Execution</w:t>
      </w:r>
      <w:proofErr w:type="spellEnd"/>
      <w:r w:rsidRPr="00360A12">
        <w:rPr>
          <w:lang w:val="fr-FR"/>
        </w:rPr>
        <w:t xml:space="preserve"> Suite, le groupe propose une solution dédiée à la gestion au sol et au fret aérien. Conseil en logistique, services cloud, services managés et formations au sein de sa propre académie viennent compléter une offre résolument globale.</w:t>
      </w:r>
    </w:p>
    <w:p w14:paraId="1ED1AACB" w14:textId="77777777" w:rsidR="00360A12" w:rsidRPr="00360A12" w:rsidRDefault="00360A12" w:rsidP="00360A12">
      <w:pPr>
        <w:spacing w:line="360" w:lineRule="auto"/>
        <w:rPr>
          <w:lang w:val="fr-FR"/>
        </w:rPr>
      </w:pPr>
    </w:p>
    <w:p w14:paraId="25AC54DD" w14:textId="2272A524" w:rsidR="00177D1B" w:rsidRPr="0076631B" w:rsidRDefault="00177D1B" w:rsidP="54DD3802">
      <w:pPr>
        <w:pStyle w:val="paragraph"/>
        <w:spacing w:before="0" w:beforeAutospacing="0" w:after="0" w:afterAutospacing="0"/>
        <w:textAlignment w:val="baseline"/>
        <w:rPr>
          <w:rStyle w:val="eop"/>
          <w:rFonts w:ascii="Arial" w:hAnsi="Arial" w:cs="Arial"/>
          <w:color w:val="000000" w:themeColor="text1"/>
          <w:sz w:val="22"/>
          <w:szCs w:val="22"/>
          <w:lang w:val="fr-FR"/>
        </w:rPr>
      </w:pPr>
    </w:p>
    <w:p w14:paraId="33059A60" w14:textId="77777777" w:rsidR="00360A12" w:rsidRPr="00141BC9" w:rsidRDefault="00360A12" w:rsidP="00360A12">
      <w:pPr>
        <w:rPr>
          <w:b/>
          <w:bCs/>
          <w:lang w:val="fr-FR"/>
        </w:rPr>
      </w:pPr>
      <w:r w:rsidRPr="00141BC9">
        <w:rPr>
          <w:b/>
          <w:bCs/>
          <w:lang w:val="fr-FR"/>
        </w:rPr>
        <w:t>Contact entreprise</w:t>
      </w:r>
      <w:r w:rsidRPr="00141BC9">
        <w:rPr>
          <w:b/>
          <w:bCs/>
          <w:lang w:val="fr-FR"/>
        </w:rPr>
        <w:br/>
      </w:r>
      <w:r w:rsidRPr="00141BC9">
        <w:rPr>
          <w:lang w:val="fr-FR"/>
        </w:rPr>
        <w:t>EPG – Ehrhardt Partner Group</w:t>
      </w:r>
      <w:r w:rsidRPr="00141BC9">
        <w:rPr>
          <w:lang w:val="fr-FR"/>
        </w:rPr>
        <w:br/>
        <w:t>Dennis Kunz</w:t>
      </w:r>
      <w:r w:rsidRPr="00141BC9">
        <w:rPr>
          <w:lang w:val="fr-FR"/>
        </w:rPr>
        <w:br/>
      </w:r>
      <w:r w:rsidRPr="00141BC9">
        <w:rPr>
          <w:lang w:val="fr-FR"/>
        </w:rPr>
        <w:lastRenderedPageBreak/>
        <w:t>Tél. : (+49) 67 42-87 27 0</w:t>
      </w:r>
      <w:r w:rsidRPr="00141BC9">
        <w:rPr>
          <w:lang w:val="fr-FR"/>
        </w:rPr>
        <w:br/>
      </w:r>
      <w:proofErr w:type="gramStart"/>
      <w:r w:rsidRPr="00141BC9">
        <w:rPr>
          <w:lang w:val="fr-FR"/>
        </w:rPr>
        <w:t>E-mail</w:t>
      </w:r>
      <w:proofErr w:type="gramEnd"/>
      <w:r w:rsidRPr="00141BC9">
        <w:rPr>
          <w:lang w:val="fr-FR"/>
        </w:rPr>
        <w:t xml:space="preserve"> : presse@epg.com • Internet : </w:t>
      </w:r>
      <w:r>
        <w:fldChar w:fldCharType="begin"/>
      </w:r>
      <w:r w:rsidRPr="00BB2028">
        <w:rPr>
          <w:lang w:val="fr-FR"/>
        </w:rPr>
        <w:instrText>HYPERLINK "http://www.epg.com" \t "_new"</w:instrText>
      </w:r>
      <w:r>
        <w:fldChar w:fldCharType="separate"/>
      </w:r>
      <w:r w:rsidRPr="00141BC9">
        <w:rPr>
          <w:rStyle w:val="Hyperlink"/>
          <w:lang w:val="fr-FR"/>
        </w:rPr>
        <w:t>www.epg.com</w:t>
      </w:r>
      <w:r>
        <w:fldChar w:fldCharType="end"/>
      </w:r>
    </w:p>
    <w:p w14:paraId="790010F7" w14:textId="77777777" w:rsidR="00360A12" w:rsidRPr="00EB499F" w:rsidRDefault="00360A12" w:rsidP="00360A12">
      <w:pPr>
        <w:rPr>
          <w:b/>
          <w:bCs/>
          <w:lang w:val="fr-FR"/>
        </w:rPr>
      </w:pPr>
    </w:p>
    <w:p w14:paraId="1297C77F" w14:textId="77777777" w:rsidR="00360A12" w:rsidRPr="00360A12" w:rsidRDefault="00360A12" w:rsidP="00360A12">
      <w:pPr>
        <w:rPr>
          <w:b/>
          <w:bCs/>
          <w:lang w:val="de-DE"/>
        </w:rPr>
      </w:pPr>
      <w:r w:rsidRPr="00360A12">
        <w:rPr>
          <w:b/>
          <w:bCs/>
          <w:lang w:val="de-DE"/>
        </w:rPr>
        <w:t>Contact presse</w:t>
      </w:r>
      <w:r w:rsidRPr="00360A12">
        <w:rPr>
          <w:b/>
          <w:bCs/>
          <w:lang w:val="de-DE"/>
        </w:rPr>
        <w:br/>
      </w:r>
      <w:r w:rsidRPr="00360A12">
        <w:rPr>
          <w:lang w:val="de-DE"/>
        </w:rPr>
        <w:t>BFOUND GmbH</w:t>
      </w:r>
      <w:r w:rsidRPr="00360A12">
        <w:rPr>
          <w:lang w:val="de-DE"/>
        </w:rPr>
        <w:br/>
        <w:t>Rebecca Schlag</w:t>
      </w:r>
      <w:r w:rsidRPr="00360A12">
        <w:rPr>
          <w:lang w:val="de-DE"/>
        </w:rPr>
        <w:br/>
      </w:r>
      <w:proofErr w:type="spellStart"/>
      <w:r w:rsidRPr="00360A12">
        <w:rPr>
          <w:lang w:val="de-DE"/>
        </w:rPr>
        <w:t>Tél</w:t>
      </w:r>
      <w:proofErr w:type="spellEnd"/>
      <w:proofErr w:type="gramStart"/>
      <w:r w:rsidRPr="00360A12">
        <w:rPr>
          <w:lang w:val="de-DE"/>
        </w:rPr>
        <w:t>. :</w:t>
      </w:r>
      <w:proofErr w:type="gramEnd"/>
      <w:r w:rsidRPr="00360A12">
        <w:rPr>
          <w:lang w:val="de-DE"/>
        </w:rPr>
        <w:t xml:space="preserve"> (+49) 67 42-87 27 5000</w:t>
      </w:r>
      <w:r w:rsidRPr="00360A12">
        <w:rPr>
          <w:lang w:val="de-DE"/>
        </w:rPr>
        <w:br/>
      </w:r>
      <w:proofErr w:type="spellStart"/>
      <w:proofErr w:type="gramStart"/>
      <w:r w:rsidRPr="00360A12">
        <w:rPr>
          <w:lang w:val="de-DE"/>
        </w:rPr>
        <w:t>E-mail</w:t>
      </w:r>
      <w:proofErr w:type="spellEnd"/>
      <w:r w:rsidRPr="00360A12">
        <w:rPr>
          <w:lang w:val="de-DE"/>
        </w:rPr>
        <w:t xml:space="preserve"> :</w:t>
      </w:r>
      <w:proofErr w:type="gramEnd"/>
      <w:r w:rsidRPr="00360A12">
        <w:rPr>
          <w:lang w:val="de-DE"/>
        </w:rPr>
        <w:t xml:space="preserve"> Rebecca.Schlag@bfound.com • presse@epg.com • </w:t>
      </w:r>
      <w:proofErr w:type="gramStart"/>
      <w:r w:rsidRPr="00360A12">
        <w:rPr>
          <w:lang w:val="de-DE"/>
        </w:rPr>
        <w:t>Internet :</w:t>
      </w:r>
      <w:proofErr w:type="gramEnd"/>
      <w:r w:rsidRPr="00360A12">
        <w:rPr>
          <w:lang w:val="de-DE"/>
        </w:rPr>
        <w:t xml:space="preserve"> </w:t>
      </w:r>
      <w:hyperlink r:id="rId9" w:tgtFrame="_new" w:history="1">
        <w:r w:rsidRPr="00360A12">
          <w:rPr>
            <w:rStyle w:val="Hyperlink"/>
            <w:lang w:val="de-DE"/>
          </w:rPr>
          <w:t>www.epg.com</w:t>
        </w:r>
      </w:hyperlink>
    </w:p>
    <w:p w14:paraId="00000011" w14:textId="64AC86B7" w:rsidR="003C5E77" w:rsidRPr="00135AB0" w:rsidRDefault="003C5E77" w:rsidP="54DD3802">
      <w:pPr>
        <w:jc w:val="both"/>
        <w:rPr>
          <w:rStyle w:val="eop"/>
          <w:lang w:val="de-DE"/>
        </w:rPr>
      </w:pPr>
    </w:p>
    <w:sectPr w:rsidR="003C5E77" w:rsidRPr="00135AB0" w:rsidSect="00FF1627">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6B4F5" w14:textId="77777777" w:rsidR="00596900" w:rsidRDefault="00596900" w:rsidP="00177D1B">
      <w:pPr>
        <w:spacing w:line="240" w:lineRule="auto"/>
      </w:pPr>
      <w:r>
        <w:separator/>
      </w:r>
    </w:p>
  </w:endnote>
  <w:endnote w:type="continuationSeparator" w:id="0">
    <w:p w14:paraId="6CDAFC8B" w14:textId="77777777" w:rsidR="00596900" w:rsidRDefault="00596900" w:rsidP="00177D1B">
      <w:pPr>
        <w:spacing w:line="240" w:lineRule="auto"/>
      </w:pPr>
      <w:r>
        <w:continuationSeparator/>
      </w:r>
    </w:p>
  </w:endnote>
  <w:endnote w:type="continuationNotice" w:id="1">
    <w:p w14:paraId="23BA66A4" w14:textId="77777777" w:rsidR="00596900" w:rsidRDefault="005969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0445EF65" w14:textId="77777777" w:rsidTr="22BA37E1">
      <w:trPr>
        <w:trHeight w:val="300"/>
      </w:trPr>
      <w:tc>
        <w:tcPr>
          <w:tcW w:w="3120" w:type="dxa"/>
        </w:tcPr>
        <w:p w14:paraId="7EE98B89" w14:textId="40268775" w:rsidR="22BA37E1" w:rsidRDefault="22BA37E1" w:rsidP="22BA37E1">
          <w:pPr>
            <w:pStyle w:val="Kopfzeile"/>
            <w:ind w:left="-115"/>
          </w:pPr>
        </w:p>
      </w:tc>
      <w:tc>
        <w:tcPr>
          <w:tcW w:w="3120" w:type="dxa"/>
        </w:tcPr>
        <w:p w14:paraId="547282A4" w14:textId="5533DF8E" w:rsidR="22BA37E1" w:rsidRDefault="22BA37E1" w:rsidP="22BA37E1">
          <w:pPr>
            <w:pStyle w:val="Kopfzeile"/>
            <w:jc w:val="center"/>
          </w:pPr>
        </w:p>
      </w:tc>
      <w:tc>
        <w:tcPr>
          <w:tcW w:w="3120" w:type="dxa"/>
        </w:tcPr>
        <w:p w14:paraId="361A998D" w14:textId="37BC5348" w:rsidR="22BA37E1" w:rsidRDefault="22BA37E1" w:rsidP="22BA37E1">
          <w:pPr>
            <w:pStyle w:val="Kopfzeile"/>
            <w:ind w:right="-115"/>
            <w:jc w:val="right"/>
          </w:pPr>
        </w:p>
      </w:tc>
    </w:tr>
  </w:tbl>
  <w:p w14:paraId="7E90F050" w14:textId="17504311" w:rsidR="22BA37E1" w:rsidRDefault="22BA37E1" w:rsidP="22BA37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71F53203" w14:textId="77777777" w:rsidTr="22BA37E1">
      <w:trPr>
        <w:trHeight w:val="300"/>
      </w:trPr>
      <w:tc>
        <w:tcPr>
          <w:tcW w:w="3120" w:type="dxa"/>
        </w:tcPr>
        <w:p w14:paraId="39539160" w14:textId="7314F477" w:rsidR="22BA37E1" w:rsidRDefault="22BA37E1" w:rsidP="22BA37E1">
          <w:pPr>
            <w:pStyle w:val="Kopfzeile"/>
            <w:ind w:left="-115"/>
          </w:pPr>
        </w:p>
      </w:tc>
      <w:tc>
        <w:tcPr>
          <w:tcW w:w="3120" w:type="dxa"/>
        </w:tcPr>
        <w:p w14:paraId="33586F10" w14:textId="56643745" w:rsidR="22BA37E1" w:rsidRDefault="22BA37E1" w:rsidP="22BA37E1">
          <w:pPr>
            <w:pStyle w:val="Kopfzeile"/>
            <w:jc w:val="center"/>
          </w:pPr>
        </w:p>
      </w:tc>
      <w:tc>
        <w:tcPr>
          <w:tcW w:w="3120" w:type="dxa"/>
        </w:tcPr>
        <w:p w14:paraId="276F9A5C" w14:textId="736D1511" w:rsidR="22BA37E1" w:rsidRDefault="22BA37E1" w:rsidP="22BA37E1">
          <w:pPr>
            <w:pStyle w:val="Kopfzeile"/>
            <w:ind w:right="-115"/>
            <w:jc w:val="right"/>
          </w:pPr>
        </w:p>
      </w:tc>
    </w:tr>
  </w:tbl>
  <w:p w14:paraId="63837955" w14:textId="3980C3C1" w:rsidR="22BA37E1" w:rsidRDefault="22BA37E1" w:rsidP="22BA37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218DA" w14:textId="77777777" w:rsidR="00596900" w:rsidRDefault="00596900" w:rsidP="00177D1B">
      <w:pPr>
        <w:spacing w:line="240" w:lineRule="auto"/>
      </w:pPr>
      <w:r>
        <w:separator/>
      </w:r>
    </w:p>
  </w:footnote>
  <w:footnote w:type="continuationSeparator" w:id="0">
    <w:p w14:paraId="3586F9E5" w14:textId="77777777" w:rsidR="00596900" w:rsidRDefault="00596900" w:rsidP="00177D1B">
      <w:pPr>
        <w:spacing w:line="240" w:lineRule="auto"/>
      </w:pPr>
      <w:r>
        <w:continuationSeparator/>
      </w:r>
    </w:p>
  </w:footnote>
  <w:footnote w:type="continuationNotice" w:id="1">
    <w:p w14:paraId="6C56279F" w14:textId="77777777" w:rsidR="00596900" w:rsidRDefault="005969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2BA37E1" w14:paraId="31755D48" w14:textId="77777777" w:rsidTr="22BA37E1">
      <w:trPr>
        <w:trHeight w:val="300"/>
      </w:trPr>
      <w:tc>
        <w:tcPr>
          <w:tcW w:w="3120" w:type="dxa"/>
        </w:tcPr>
        <w:p w14:paraId="5584FEF6" w14:textId="6E8B6B15" w:rsidR="22BA37E1" w:rsidRDefault="22BA37E1" w:rsidP="22BA37E1">
          <w:pPr>
            <w:pStyle w:val="Kopfzeile"/>
            <w:ind w:left="-115"/>
          </w:pPr>
        </w:p>
      </w:tc>
      <w:tc>
        <w:tcPr>
          <w:tcW w:w="3120" w:type="dxa"/>
        </w:tcPr>
        <w:p w14:paraId="68A04755" w14:textId="7EF79F74" w:rsidR="22BA37E1" w:rsidRDefault="22BA37E1" w:rsidP="22BA37E1">
          <w:pPr>
            <w:pStyle w:val="Kopfzeile"/>
            <w:jc w:val="center"/>
          </w:pPr>
        </w:p>
      </w:tc>
      <w:tc>
        <w:tcPr>
          <w:tcW w:w="3120" w:type="dxa"/>
        </w:tcPr>
        <w:p w14:paraId="5052CDC5" w14:textId="63EF1AFF" w:rsidR="22BA37E1" w:rsidRDefault="22BA37E1" w:rsidP="22BA37E1">
          <w:pPr>
            <w:pStyle w:val="Kopfzeile"/>
            <w:ind w:right="-115"/>
            <w:jc w:val="right"/>
          </w:pPr>
        </w:p>
      </w:tc>
    </w:tr>
  </w:tbl>
  <w:p w14:paraId="0A1077C4" w14:textId="082D4B15" w:rsidR="22BA37E1" w:rsidRDefault="22BA37E1" w:rsidP="22BA37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DF61" w14:textId="0FABDDC4" w:rsidR="00177D1B" w:rsidRDefault="00135AB0">
    <w:pPr>
      <w:pStyle w:val="Kopfzeile"/>
    </w:pPr>
    <w:proofErr w:type="spellStart"/>
    <w:r>
      <w:rPr>
        <w:rStyle w:val="normaltextrun"/>
        <w:b/>
        <w:bCs/>
        <w:color w:val="7F7F7F"/>
        <w:sz w:val="32"/>
        <w:szCs w:val="32"/>
        <w:shd w:val="clear" w:color="auto" w:fill="FFFFFF"/>
        <w:lang w:val="de-DE"/>
      </w:rPr>
      <w:t>Com</w:t>
    </w:r>
    <w:r w:rsidR="00BB2028">
      <w:rPr>
        <w:rStyle w:val="normaltextrun"/>
        <w:b/>
        <w:bCs/>
        <w:color w:val="7F7F7F"/>
        <w:sz w:val="32"/>
        <w:szCs w:val="32"/>
        <w:shd w:val="clear" w:color="auto" w:fill="FFFFFF"/>
        <w:lang w:val="de-DE"/>
      </w:rPr>
      <w:t>m</w:t>
    </w:r>
    <w:r>
      <w:rPr>
        <w:rStyle w:val="normaltextrun"/>
        <w:b/>
        <w:bCs/>
        <w:color w:val="7F7F7F"/>
        <w:sz w:val="32"/>
        <w:szCs w:val="32"/>
        <w:shd w:val="clear" w:color="auto" w:fill="FFFFFF"/>
        <w:lang w:val="de-DE"/>
      </w:rPr>
      <w:t>unique</w:t>
    </w:r>
    <w:proofErr w:type="spellEnd"/>
    <w:r>
      <w:rPr>
        <w:rStyle w:val="normaltextrun"/>
        <w:b/>
        <w:bCs/>
        <w:color w:val="7F7F7F"/>
        <w:sz w:val="32"/>
        <w:szCs w:val="32"/>
        <w:shd w:val="clear" w:color="auto" w:fill="FFFFFF"/>
        <w:lang w:val="de-DE"/>
      </w:rPr>
      <w:t xml:space="preserve"> de presse </w:t>
    </w:r>
    <w:r>
      <w:rPr>
        <w:rStyle w:val="normaltextrun"/>
        <w:b/>
        <w:bCs/>
        <w:color w:val="7F7F7F"/>
        <w:sz w:val="32"/>
        <w:szCs w:val="32"/>
        <w:shd w:val="clear" w:color="auto" w:fill="FFFFFF"/>
        <w:lang w:val="de-DE"/>
      </w:rPr>
      <w:tab/>
    </w:r>
    <w:r>
      <w:rPr>
        <w:rStyle w:val="wacimagecontainer"/>
        <w:rFonts w:ascii="Segoe UI" w:hAnsi="Segoe UI" w:cs="Segoe UI"/>
        <w:noProof/>
        <w:color w:val="000000"/>
        <w:sz w:val="18"/>
        <w:szCs w:val="18"/>
        <w:shd w:val="clear" w:color="auto" w:fill="FFFFFF"/>
      </w:rPr>
      <w:t xml:space="preserve">                                                                           </w:t>
    </w:r>
    <w:r w:rsidR="00177D1B">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0782C"/>
    <w:rsid w:val="00040337"/>
    <w:rsid w:val="0004101A"/>
    <w:rsid w:val="000475D7"/>
    <w:rsid w:val="000577D6"/>
    <w:rsid w:val="00060140"/>
    <w:rsid w:val="0006156C"/>
    <w:rsid w:val="00063E0A"/>
    <w:rsid w:val="00076158"/>
    <w:rsid w:val="00083932"/>
    <w:rsid w:val="000857FB"/>
    <w:rsid w:val="000A118B"/>
    <w:rsid w:val="000A3E2E"/>
    <w:rsid w:val="000A7812"/>
    <w:rsid w:val="000D0B28"/>
    <w:rsid w:val="000D42A3"/>
    <w:rsid w:val="000E5F11"/>
    <w:rsid w:val="000F748C"/>
    <w:rsid w:val="00102844"/>
    <w:rsid w:val="00135AB0"/>
    <w:rsid w:val="00143934"/>
    <w:rsid w:val="00160874"/>
    <w:rsid w:val="00160C50"/>
    <w:rsid w:val="0017695B"/>
    <w:rsid w:val="00177D1B"/>
    <w:rsid w:val="00197735"/>
    <w:rsid w:val="001A0F05"/>
    <w:rsid w:val="001B699D"/>
    <w:rsid w:val="001C6F46"/>
    <w:rsid w:val="001D33E8"/>
    <w:rsid w:val="0023651A"/>
    <w:rsid w:val="00247DEA"/>
    <w:rsid w:val="0026433B"/>
    <w:rsid w:val="0027531C"/>
    <w:rsid w:val="00287DE6"/>
    <w:rsid w:val="00291F80"/>
    <w:rsid w:val="002A4CFC"/>
    <w:rsid w:val="002A6D6B"/>
    <w:rsid w:val="002D02FF"/>
    <w:rsid w:val="002D6BAF"/>
    <w:rsid w:val="002F7617"/>
    <w:rsid w:val="00307223"/>
    <w:rsid w:val="00330349"/>
    <w:rsid w:val="00360A12"/>
    <w:rsid w:val="003744D5"/>
    <w:rsid w:val="003B0B90"/>
    <w:rsid w:val="003C5E77"/>
    <w:rsid w:val="003D3D98"/>
    <w:rsid w:val="003F57F9"/>
    <w:rsid w:val="00435D42"/>
    <w:rsid w:val="00463566"/>
    <w:rsid w:val="00475E68"/>
    <w:rsid w:val="0048396C"/>
    <w:rsid w:val="00486172"/>
    <w:rsid w:val="00490867"/>
    <w:rsid w:val="00494A8D"/>
    <w:rsid w:val="004A18EA"/>
    <w:rsid w:val="004D6018"/>
    <w:rsid w:val="004D7DF6"/>
    <w:rsid w:val="004E2477"/>
    <w:rsid w:val="004E7FF9"/>
    <w:rsid w:val="005000E8"/>
    <w:rsid w:val="00533344"/>
    <w:rsid w:val="00562F2E"/>
    <w:rsid w:val="00567DE1"/>
    <w:rsid w:val="0057243E"/>
    <w:rsid w:val="005732F2"/>
    <w:rsid w:val="00596900"/>
    <w:rsid w:val="005B1FB6"/>
    <w:rsid w:val="00626D78"/>
    <w:rsid w:val="006442D8"/>
    <w:rsid w:val="00647762"/>
    <w:rsid w:val="006864FC"/>
    <w:rsid w:val="006B4B3C"/>
    <w:rsid w:val="006C2AD4"/>
    <w:rsid w:val="006D2FE5"/>
    <w:rsid w:val="006E3DFD"/>
    <w:rsid w:val="006F6259"/>
    <w:rsid w:val="007059AC"/>
    <w:rsid w:val="00705E14"/>
    <w:rsid w:val="00716020"/>
    <w:rsid w:val="00727C0F"/>
    <w:rsid w:val="007358AD"/>
    <w:rsid w:val="007434DF"/>
    <w:rsid w:val="0076631B"/>
    <w:rsid w:val="00775308"/>
    <w:rsid w:val="00784251"/>
    <w:rsid w:val="00791284"/>
    <w:rsid w:val="00792521"/>
    <w:rsid w:val="0079490F"/>
    <w:rsid w:val="007961BE"/>
    <w:rsid w:val="007A7A62"/>
    <w:rsid w:val="007C7BAA"/>
    <w:rsid w:val="007D733E"/>
    <w:rsid w:val="007F37A4"/>
    <w:rsid w:val="007F6995"/>
    <w:rsid w:val="00816027"/>
    <w:rsid w:val="0082526F"/>
    <w:rsid w:val="0083162D"/>
    <w:rsid w:val="00854A88"/>
    <w:rsid w:val="00872887"/>
    <w:rsid w:val="00872915"/>
    <w:rsid w:val="00877765"/>
    <w:rsid w:val="008958C7"/>
    <w:rsid w:val="008959B5"/>
    <w:rsid w:val="008974E2"/>
    <w:rsid w:val="008A3E0D"/>
    <w:rsid w:val="008A44ED"/>
    <w:rsid w:val="008A7104"/>
    <w:rsid w:val="008C2173"/>
    <w:rsid w:val="008C234B"/>
    <w:rsid w:val="008C2CFC"/>
    <w:rsid w:val="008D5DCC"/>
    <w:rsid w:val="00902B1C"/>
    <w:rsid w:val="00923223"/>
    <w:rsid w:val="009509E6"/>
    <w:rsid w:val="00960B65"/>
    <w:rsid w:val="00973689"/>
    <w:rsid w:val="0097556F"/>
    <w:rsid w:val="00992645"/>
    <w:rsid w:val="009B3A8C"/>
    <w:rsid w:val="009C1C0B"/>
    <w:rsid w:val="009C4FF6"/>
    <w:rsid w:val="009E2EC8"/>
    <w:rsid w:val="00A03395"/>
    <w:rsid w:val="00A123AD"/>
    <w:rsid w:val="00A20D0C"/>
    <w:rsid w:val="00A3165C"/>
    <w:rsid w:val="00A3BED4"/>
    <w:rsid w:val="00A6518C"/>
    <w:rsid w:val="00AB1E45"/>
    <w:rsid w:val="00AB4088"/>
    <w:rsid w:val="00AB6A4A"/>
    <w:rsid w:val="00AF46B4"/>
    <w:rsid w:val="00AF7079"/>
    <w:rsid w:val="00B43D6A"/>
    <w:rsid w:val="00B776C2"/>
    <w:rsid w:val="00B806CB"/>
    <w:rsid w:val="00B829B5"/>
    <w:rsid w:val="00B90A02"/>
    <w:rsid w:val="00B90BE4"/>
    <w:rsid w:val="00B936CD"/>
    <w:rsid w:val="00BA3E83"/>
    <w:rsid w:val="00BB2028"/>
    <w:rsid w:val="00BC0693"/>
    <w:rsid w:val="00BC1E8E"/>
    <w:rsid w:val="00BF2ECC"/>
    <w:rsid w:val="00BF719A"/>
    <w:rsid w:val="00C04C8A"/>
    <w:rsid w:val="00C17DB7"/>
    <w:rsid w:val="00C30F14"/>
    <w:rsid w:val="00C375EC"/>
    <w:rsid w:val="00C467FB"/>
    <w:rsid w:val="00C751D2"/>
    <w:rsid w:val="00C80A43"/>
    <w:rsid w:val="00C87F87"/>
    <w:rsid w:val="00CA3393"/>
    <w:rsid w:val="00CB091D"/>
    <w:rsid w:val="00CB2234"/>
    <w:rsid w:val="00CD0187"/>
    <w:rsid w:val="00CE49D6"/>
    <w:rsid w:val="00CE7273"/>
    <w:rsid w:val="00D037D7"/>
    <w:rsid w:val="00D03E91"/>
    <w:rsid w:val="00D15D83"/>
    <w:rsid w:val="00D2AC9C"/>
    <w:rsid w:val="00D36207"/>
    <w:rsid w:val="00D65B6B"/>
    <w:rsid w:val="00D71112"/>
    <w:rsid w:val="00D776D8"/>
    <w:rsid w:val="00D97918"/>
    <w:rsid w:val="00DC1332"/>
    <w:rsid w:val="00DC7DFF"/>
    <w:rsid w:val="00DD740D"/>
    <w:rsid w:val="00DE7DE3"/>
    <w:rsid w:val="00DF46D8"/>
    <w:rsid w:val="00DF779E"/>
    <w:rsid w:val="00E179AC"/>
    <w:rsid w:val="00E21379"/>
    <w:rsid w:val="00E23091"/>
    <w:rsid w:val="00E44259"/>
    <w:rsid w:val="00EB448E"/>
    <w:rsid w:val="00EC4E0F"/>
    <w:rsid w:val="00EC5A23"/>
    <w:rsid w:val="00EF39F5"/>
    <w:rsid w:val="00F170D6"/>
    <w:rsid w:val="00F20660"/>
    <w:rsid w:val="00F23F00"/>
    <w:rsid w:val="00F5088C"/>
    <w:rsid w:val="00F7911D"/>
    <w:rsid w:val="00F82F92"/>
    <w:rsid w:val="00FA1567"/>
    <w:rsid w:val="00FA5682"/>
    <w:rsid w:val="00FC06F8"/>
    <w:rsid w:val="00FC475A"/>
    <w:rsid w:val="00FD4C96"/>
    <w:rsid w:val="00FF1627"/>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919726"/>
    <w:rsid w:val="0FBEB9E3"/>
    <w:rsid w:val="0FE5C8C4"/>
    <w:rsid w:val="102350C3"/>
    <w:rsid w:val="102C7354"/>
    <w:rsid w:val="14879E46"/>
    <w:rsid w:val="15B61CDC"/>
    <w:rsid w:val="15D4BA2D"/>
    <w:rsid w:val="15F07CD8"/>
    <w:rsid w:val="162A5F89"/>
    <w:rsid w:val="16514ADC"/>
    <w:rsid w:val="16C6E989"/>
    <w:rsid w:val="1748CD3B"/>
    <w:rsid w:val="1830D0EF"/>
    <w:rsid w:val="183685B6"/>
    <w:rsid w:val="185CE604"/>
    <w:rsid w:val="1899B23A"/>
    <w:rsid w:val="18A87E0F"/>
    <w:rsid w:val="193CD0F9"/>
    <w:rsid w:val="1968C95F"/>
    <w:rsid w:val="19FC4C7F"/>
    <w:rsid w:val="1A4417B7"/>
    <w:rsid w:val="1ABA9FAF"/>
    <w:rsid w:val="1BB31D67"/>
    <w:rsid w:val="1C5B47CC"/>
    <w:rsid w:val="1CC9B38F"/>
    <w:rsid w:val="1E059F07"/>
    <w:rsid w:val="1ECC6BC8"/>
    <w:rsid w:val="1F0422F4"/>
    <w:rsid w:val="1F27C6AC"/>
    <w:rsid w:val="1F7EF32F"/>
    <w:rsid w:val="2003DA14"/>
    <w:rsid w:val="20D41432"/>
    <w:rsid w:val="2115476F"/>
    <w:rsid w:val="21803A03"/>
    <w:rsid w:val="229E7E37"/>
    <w:rsid w:val="22BA37E1"/>
    <w:rsid w:val="232AA5DD"/>
    <w:rsid w:val="2334743F"/>
    <w:rsid w:val="237DB418"/>
    <w:rsid w:val="23947793"/>
    <w:rsid w:val="23D00FFD"/>
    <w:rsid w:val="248763A8"/>
    <w:rsid w:val="254AB02A"/>
    <w:rsid w:val="262ECC19"/>
    <w:rsid w:val="26785EBB"/>
    <w:rsid w:val="275F3F47"/>
    <w:rsid w:val="27FA9642"/>
    <w:rsid w:val="2818C62A"/>
    <w:rsid w:val="28CEC370"/>
    <w:rsid w:val="29C59F8C"/>
    <w:rsid w:val="29DF69B4"/>
    <w:rsid w:val="2AE8256E"/>
    <w:rsid w:val="2B065E43"/>
    <w:rsid w:val="2DF78213"/>
    <w:rsid w:val="2E18151D"/>
    <w:rsid w:val="2E8B6165"/>
    <w:rsid w:val="2F75C5DE"/>
    <w:rsid w:val="2FFD6126"/>
    <w:rsid w:val="314FB5DF"/>
    <w:rsid w:val="324B94E3"/>
    <w:rsid w:val="333A1511"/>
    <w:rsid w:val="33555969"/>
    <w:rsid w:val="33B48373"/>
    <w:rsid w:val="343B7FBA"/>
    <w:rsid w:val="34F63693"/>
    <w:rsid w:val="3583DE32"/>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414AEE"/>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CD2DD95"/>
    <w:rsid w:val="4D0E207A"/>
    <w:rsid w:val="4D4B8727"/>
    <w:rsid w:val="4D5E36FD"/>
    <w:rsid w:val="4E649EA9"/>
    <w:rsid w:val="4E76C210"/>
    <w:rsid w:val="4EC3D9DC"/>
    <w:rsid w:val="4F30218A"/>
    <w:rsid w:val="4F6A4825"/>
    <w:rsid w:val="4FA551D4"/>
    <w:rsid w:val="504EFA05"/>
    <w:rsid w:val="50B82E50"/>
    <w:rsid w:val="51668B15"/>
    <w:rsid w:val="5173D475"/>
    <w:rsid w:val="52B0505A"/>
    <w:rsid w:val="52EDDE50"/>
    <w:rsid w:val="536848B6"/>
    <w:rsid w:val="536DD49E"/>
    <w:rsid w:val="53974AFF"/>
    <w:rsid w:val="5430A01E"/>
    <w:rsid w:val="54391D01"/>
    <w:rsid w:val="54BF1886"/>
    <w:rsid w:val="54DD3802"/>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DE33340"/>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CCAD1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1DBD6EB7-8924-4681-8CEA-97A9C63C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paragraph" w:customStyle="1" w:styleId="paragraph">
    <w:name w:val="paragraph"/>
    <w:basedOn w:val="Standard"/>
    <w:rsid w:val="00177D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Absatz-Standardschriftart"/>
    <w:rsid w:val="00177D1B"/>
  </w:style>
  <w:style w:type="character" w:customStyle="1" w:styleId="tabchar">
    <w:name w:val="tabchar"/>
    <w:basedOn w:val="Absatz-Standardschriftart"/>
    <w:rsid w:val="00177D1B"/>
  </w:style>
  <w:style w:type="character" w:customStyle="1" w:styleId="eop">
    <w:name w:val="eop"/>
    <w:basedOn w:val="Absatz-Standardschriftart"/>
    <w:rsid w:val="00177D1B"/>
  </w:style>
  <w:style w:type="paragraph" w:styleId="Kopfzeile">
    <w:name w:val="header"/>
    <w:basedOn w:val="Standard"/>
    <w:link w:val="KopfzeileZchn"/>
    <w:uiPriority w:val="99"/>
    <w:unhideWhenUsed/>
    <w:rsid w:val="00177D1B"/>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177D1B"/>
  </w:style>
  <w:style w:type="paragraph" w:styleId="Fuzeile">
    <w:name w:val="footer"/>
    <w:basedOn w:val="Standard"/>
    <w:link w:val="FuzeileZchn"/>
    <w:uiPriority w:val="99"/>
    <w:unhideWhenUsed/>
    <w:rsid w:val="00177D1B"/>
    <w:pPr>
      <w:tabs>
        <w:tab w:val="center" w:pos="4703"/>
        <w:tab w:val="right" w:pos="9406"/>
      </w:tabs>
      <w:spacing w:line="240" w:lineRule="auto"/>
    </w:pPr>
  </w:style>
  <w:style w:type="character" w:customStyle="1" w:styleId="FuzeileZchn">
    <w:name w:val="Fußzeile Zchn"/>
    <w:basedOn w:val="Absatz-Standardschriftart"/>
    <w:link w:val="Fuzeile"/>
    <w:uiPriority w:val="99"/>
    <w:rsid w:val="00177D1B"/>
  </w:style>
  <w:style w:type="character" w:customStyle="1" w:styleId="wacimagecontainer">
    <w:name w:val="wacimagecontainer"/>
    <w:basedOn w:val="Absatz-Standardschriftart"/>
    <w:rsid w:val="00177D1B"/>
  </w:style>
  <w:style w:type="table" w:styleId="Tabellenraster">
    <w:name w:val="Table Grid"/>
    <w:basedOn w:val="NormaleTabelle"/>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872915"/>
    <w:pPr>
      <w:spacing w:line="240" w:lineRule="auto"/>
    </w:pPr>
  </w:style>
  <w:style w:type="paragraph" w:styleId="Kommentarthema">
    <w:name w:val="annotation subject"/>
    <w:basedOn w:val="Kommentartext"/>
    <w:next w:val="Kommentartext"/>
    <w:link w:val="KommentarthemaZchn"/>
    <w:uiPriority w:val="99"/>
    <w:semiHidden/>
    <w:unhideWhenUsed/>
    <w:rsid w:val="00872915"/>
    <w:rPr>
      <w:b/>
      <w:bCs/>
    </w:rPr>
  </w:style>
  <w:style w:type="character" w:customStyle="1" w:styleId="KommentarthemaZchn">
    <w:name w:val="Kommentarthema Zchn"/>
    <w:basedOn w:val="KommentartextZchn"/>
    <w:link w:val="Kommentarthema"/>
    <w:uiPriority w:val="99"/>
    <w:semiHidden/>
    <w:rsid w:val="00872915"/>
    <w:rPr>
      <w:b/>
      <w:bCs/>
      <w:sz w:val="20"/>
      <w:szCs w:val="20"/>
    </w:rPr>
  </w:style>
  <w:style w:type="paragraph" w:styleId="Listenabsatz">
    <w:name w:val="List Paragraph"/>
    <w:basedOn w:val="Standard"/>
    <w:uiPriority w:val="34"/>
    <w:qFormat/>
    <w:rsid w:val="00872915"/>
    <w:pPr>
      <w:ind w:left="720"/>
      <w:contextualSpacing/>
    </w:pPr>
  </w:style>
  <w:style w:type="paragraph" w:styleId="StandardWeb">
    <w:name w:val="Normal (Web)"/>
    <w:basedOn w:val="Standard"/>
    <w:uiPriority w:val="99"/>
    <w:semiHidden/>
    <w:unhideWhenUsed/>
    <w:rsid w:val="00C375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3B0B90"/>
    <w:rPr>
      <w:color w:val="0000FF" w:themeColor="hyperlink"/>
      <w:u w:val="single"/>
    </w:rPr>
  </w:style>
  <w:style w:type="character" w:styleId="NichtaufgelsteErwhnung">
    <w:name w:val="Unresolved Mention"/>
    <w:basedOn w:val="Absatz-Standardschriftart"/>
    <w:uiPriority w:val="99"/>
    <w:semiHidden/>
    <w:unhideWhenUsed/>
    <w:rsid w:val="003B0B90"/>
    <w:rPr>
      <w:color w:val="605E5C"/>
      <w:shd w:val="clear" w:color="auto" w:fill="E1DFDD"/>
    </w:rPr>
  </w:style>
  <w:style w:type="paragraph" w:customStyle="1" w:styleId="BoilerPlate">
    <w:name w:val="Boiler Plate"/>
    <w:basedOn w:val="Standard"/>
    <w:qFormat/>
    <w:rsid w:val="00C80A43"/>
    <w:pPr>
      <w:spacing w:line="336" w:lineRule="auto"/>
    </w:pPr>
    <w:rPr>
      <w:rFonts w:eastAsia="Times New Roman"/>
      <w:sz w:val="20"/>
      <w:szCs w:val="20"/>
      <w:lang w:val="en-GB" w:eastAsia="de-DE"/>
    </w:rPr>
  </w:style>
  <w:style w:type="character" w:styleId="BesuchterLink">
    <w:name w:val="FollowedHyperlink"/>
    <w:basedOn w:val="Absatz-Standardschriftart"/>
    <w:uiPriority w:val="99"/>
    <w:semiHidden/>
    <w:unhideWhenUsed/>
    <w:rsid w:val="001439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pg.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EB83C-7908-40DE-B9DD-54C92268DC91}">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6A5E55F7-89C8-41CE-964B-5C5A8F966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A0AA42-1668-4447-A6BE-3E5504F522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4052</Characters>
  <Application>Microsoft Office Word</Application>
  <DocSecurity>0</DocSecurity>
  <Lines>33</Lines>
  <Paragraphs>9</Paragraphs>
  <ScaleCrop>false</ScaleCrop>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Schlag, Rebecca</cp:lastModifiedBy>
  <cp:revision>6</cp:revision>
  <dcterms:created xsi:type="dcterms:W3CDTF">2026-05-04T09:57:00Z</dcterms:created>
  <dcterms:modified xsi:type="dcterms:W3CDTF">2026-05-04T14:01:00Z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