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3CF54" w14:textId="77777777" w:rsidR="00616A4B" w:rsidRPr="00616A4B" w:rsidRDefault="00616A4B" w:rsidP="00616A4B">
      <w:pPr>
        <w:spacing w:line="360" w:lineRule="auto"/>
        <w:jc w:val="center"/>
        <w:rPr>
          <w:b/>
          <w:bCs/>
          <w:lang w:val="fr-FR"/>
        </w:rPr>
      </w:pPr>
      <w:r w:rsidRPr="00616A4B">
        <w:rPr>
          <w:b/>
          <w:bCs/>
          <w:lang w:val="fr-FR"/>
        </w:rPr>
        <w:t>Nouveau partenariat</w:t>
      </w:r>
      <w:r w:rsidRPr="00616A4B">
        <w:rPr>
          <w:b/>
          <w:bCs/>
          <w:lang w:val="fr-FR"/>
        </w:rPr>
        <w:br/>
      </w:r>
      <w:r w:rsidRPr="00616A4B">
        <w:rPr>
          <w:b/>
          <w:bCs/>
          <w:sz w:val="32"/>
          <w:szCs w:val="32"/>
          <w:lang w:val="fr-FR"/>
        </w:rPr>
        <w:t>EPG et Bluerock TMS lancent un partenariat stratégique pour la visibilité et l’automatisation</w:t>
      </w:r>
    </w:p>
    <w:p w14:paraId="71658588" w14:textId="77777777" w:rsidR="00616A4B" w:rsidRPr="00616A4B" w:rsidRDefault="00616A4B" w:rsidP="00616A4B">
      <w:pPr>
        <w:spacing w:line="360" w:lineRule="auto"/>
        <w:rPr>
          <w:b/>
          <w:bCs/>
          <w:lang w:val="fr-FR"/>
        </w:rPr>
      </w:pPr>
      <w:r w:rsidRPr="00616A4B">
        <w:rPr>
          <w:b/>
          <w:bCs/>
          <w:lang w:val="fr-FR"/>
        </w:rPr>
        <w:t>L’efficacité, la durabilité et la transparence sont les facteurs de réussite décisifs des réseaux de transport modernes. La complexité croissante des chaînes d’approvisionnement mondiales, la pénurie de main-d’œuvre qualifiée et la pression grandissante pour atteindre des objectifs environnementaux exigent des solutions capables de relier intelligemment données, processus et pilotage opérationnel. Dans ce contexte, le nouveau partenariat stratégique entre EPG (Ehrhardt Partner Group) et Bluerock TMS, fournisseur d’un système de gestion des transports utilisé à l’échelle mondiale et reconnu dans le Gartner Magic Quadrant, crée une plateforme qui combine l’optimisation mathématique des itinéraires avec la gestion des transports en temps réel.</w:t>
      </w:r>
    </w:p>
    <w:p w14:paraId="5EC09F33" w14:textId="77777777" w:rsidR="00616A4B" w:rsidRDefault="00616A4B" w:rsidP="00616A4B">
      <w:pPr>
        <w:spacing w:line="360" w:lineRule="auto"/>
        <w:rPr>
          <w:lang w:val="fr-FR"/>
        </w:rPr>
      </w:pPr>
      <w:r w:rsidRPr="00616A4B">
        <w:rPr>
          <w:lang w:val="fr-FR"/>
        </w:rPr>
        <w:t>L’objectif de cette collaboration est d’intégrer directement le moteur de routage Greenplan d’EPG dans la plateforme TMS cloud de Bluerock. Les entreprises auront ainsi accès à un système entièrement interconnecté qui réunit la planification, l’exécution et l’analyse de leurs opérations de transport au sein d’un processus centralisé.</w:t>
      </w:r>
    </w:p>
    <w:p w14:paraId="02ECE9AA" w14:textId="77777777" w:rsidR="005254AE" w:rsidRPr="00616A4B" w:rsidRDefault="005254AE" w:rsidP="00616A4B">
      <w:pPr>
        <w:spacing w:line="360" w:lineRule="auto"/>
        <w:rPr>
          <w:lang w:val="fr-FR"/>
        </w:rPr>
      </w:pPr>
    </w:p>
    <w:p w14:paraId="1EA85DD7" w14:textId="77777777" w:rsidR="00616A4B" w:rsidRDefault="00616A4B" w:rsidP="00616A4B">
      <w:pPr>
        <w:spacing w:line="360" w:lineRule="auto"/>
        <w:rPr>
          <w:lang w:val="fr-FR"/>
        </w:rPr>
      </w:pPr>
      <w:r w:rsidRPr="00616A4B">
        <w:rPr>
          <w:lang w:val="fr-FR"/>
        </w:rPr>
        <w:t>Entreprise mondiale disposant de sites en Europe, en Amérique du Nord et en Asie, Bluerock coordonne chaque année des millions d’expéditions grâce à son TMS moderne et complet. Greenplan étend ces capacités en franchissant une étape décisive supplémentaire.</w:t>
      </w:r>
    </w:p>
    <w:p w14:paraId="2E53B1D8" w14:textId="77777777" w:rsidR="005254AE" w:rsidRPr="00616A4B" w:rsidRDefault="005254AE" w:rsidP="00616A4B">
      <w:pPr>
        <w:spacing w:line="360" w:lineRule="auto"/>
        <w:rPr>
          <w:lang w:val="fr-FR"/>
        </w:rPr>
      </w:pPr>
    </w:p>
    <w:p w14:paraId="3C24D3AD" w14:textId="77777777" w:rsidR="00616A4B" w:rsidRDefault="00616A4B" w:rsidP="00616A4B">
      <w:pPr>
        <w:spacing w:line="360" w:lineRule="auto"/>
        <w:rPr>
          <w:lang w:val="fr-FR"/>
        </w:rPr>
      </w:pPr>
      <w:r w:rsidRPr="00616A4B">
        <w:rPr>
          <w:lang w:val="fr-FR"/>
        </w:rPr>
        <w:t>Alors que Bluerock offre une transparence totale sur les retards, les goulets d’étranglement de capacité et les écarts opérationnels, Greenplan intervient là où la simple visibilité atteint ses limites. Greenplan ne se contente pas de calculer des itinéraires optimaux répondant à tous les critères des clients : il les optimise en continu. Grâce à des modèles mathématiques intelligents, les itinéraires s’adaptent automatiquement en temps réel aux conditions changeantes et peuvent être validés immédiatement en un clic.</w:t>
      </w:r>
    </w:p>
    <w:p w14:paraId="64E92B08" w14:textId="77777777" w:rsidR="005254AE" w:rsidRPr="00616A4B" w:rsidRDefault="005254AE" w:rsidP="00616A4B">
      <w:pPr>
        <w:spacing w:line="360" w:lineRule="auto"/>
        <w:rPr>
          <w:lang w:val="fr-FR"/>
        </w:rPr>
      </w:pPr>
    </w:p>
    <w:p w14:paraId="6BD97421" w14:textId="77777777" w:rsidR="00616A4B" w:rsidRDefault="00616A4B" w:rsidP="00616A4B">
      <w:pPr>
        <w:spacing w:line="360" w:lineRule="auto"/>
        <w:rPr>
          <w:lang w:val="fr-FR"/>
        </w:rPr>
      </w:pPr>
      <w:r w:rsidRPr="00616A4B">
        <w:rPr>
          <w:lang w:val="fr-FR"/>
        </w:rPr>
        <w:t xml:space="preserve">Le résultat est un véritable effet « Beyond Visibility » : les entreprises ne voient plus seulement ce qui se passe, elles reçoivent immédiatement des solutions basées sur les données </w:t>
      </w:r>
      <w:r w:rsidRPr="00616A4B">
        <w:rPr>
          <w:lang w:val="fr-FR"/>
        </w:rPr>
        <w:lastRenderedPageBreak/>
        <w:t>et des options d’action concrètes. Cela se traduit par des économies de coûts mesurables, une meilleure ponctualité des livraisons et une réduction des émissions.</w:t>
      </w:r>
    </w:p>
    <w:p w14:paraId="7B3C4047" w14:textId="77777777" w:rsidR="005254AE" w:rsidRPr="00616A4B" w:rsidRDefault="005254AE" w:rsidP="00616A4B">
      <w:pPr>
        <w:spacing w:line="360" w:lineRule="auto"/>
        <w:rPr>
          <w:lang w:val="fr-FR"/>
        </w:rPr>
      </w:pPr>
    </w:p>
    <w:p w14:paraId="1048FF7E" w14:textId="77777777" w:rsidR="00616A4B" w:rsidRDefault="00616A4B" w:rsidP="00616A4B">
      <w:pPr>
        <w:spacing w:line="360" w:lineRule="auto"/>
        <w:rPr>
          <w:lang w:val="fr-FR"/>
        </w:rPr>
      </w:pPr>
      <w:r w:rsidRPr="00616A4B">
        <w:rPr>
          <w:lang w:val="fr-FR"/>
        </w:rPr>
        <w:t>Dr. Clemens Beckmann, CEO de Greenplan chez EPG, explique :</w:t>
      </w:r>
      <w:r w:rsidRPr="00616A4B">
        <w:rPr>
          <w:lang w:val="fr-FR"/>
        </w:rPr>
        <w:br/>
        <w:t>« Avec ce partenariat, nous combinons pour la première fois l’optimisation mathématiquement précise des itinéraires et une gestion performante des transports au sein d’un seul système. Les entreprises gagnent non seulement en transparence, mais aussi en capacité d’action immédiate – automatiquement et en temps réel. »</w:t>
      </w:r>
    </w:p>
    <w:p w14:paraId="71DD0724" w14:textId="77777777" w:rsidR="005254AE" w:rsidRPr="00616A4B" w:rsidRDefault="005254AE" w:rsidP="00616A4B">
      <w:pPr>
        <w:spacing w:line="360" w:lineRule="auto"/>
        <w:rPr>
          <w:b/>
          <w:bCs/>
          <w:lang w:val="fr-FR"/>
        </w:rPr>
      </w:pPr>
    </w:p>
    <w:p w14:paraId="5B7E2EA8" w14:textId="77777777" w:rsidR="00616A4B" w:rsidRPr="00616A4B" w:rsidRDefault="00616A4B" w:rsidP="005254AE">
      <w:pPr>
        <w:spacing w:line="360" w:lineRule="auto"/>
        <w:rPr>
          <w:b/>
          <w:bCs/>
        </w:rPr>
      </w:pPr>
      <w:r w:rsidRPr="00616A4B">
        <w:rPr>
          <w:b/>
          <w:bCs/>
        </w:rPr>
        <w:t>L’efficacité comme avantage concurrentiel décisif</w:t>
      </w:r>
    </w:p>
    <w:p w14:paraId="722E3AE5" w14:textId="1F10BCCA" w:rsidR="00616A4B" w:rsidRDefault="00616A4B" w:rsidP="00616A4B">
      <w:pPr>
        <w:spacing w:line="360" w:lineRule="auto"/>
        <w:rPr>
          <w:lang w:val="fr-FR"/>
        </w:rPr>
      </w:pPr>
      <w:r w:rsidRPr="00616A4B">
        <w:rPr>
          <w:lang w:val="fr-FR"/>
        </w:rPr>
        <w:t>Les chaînes d’approvisionnement mondiales deviennent de plus en plus complexes et interconnectées. La fluctuation de la demande, les embouteillages et les exigences croissantes en matière de durabilité accroissent la pression opérationnelle tant pour les exploitants de flottes que pour les expéditeurs.</w:t>
      </w:r>
      <w:r w:rsidR="005254AE">
        <w:rPr>
          <w:lang w:val="fr-FR"/>
        </w:rPr>
        <w:t xml:space="preserve"> </w:t>
      </w:r>
      <w:r w:rsidRPr="00616A4B">
        <w:rPr>
          <w:lang w:val="fr-FR"/>
        </w:rPr>
        <w:t>Les méthodes de planification d’itinéraires statiques ou basées sur des règles, qui étaient autrefois suffisantes, ont du mal à suivre ces nouveaux défis. L’algorithme Greenplan analyse simultanément les flux de trafic, les priorités de livraison, les créneaux horaires et les capacités des véhicules, et simule en quelques secondes des centaines de milliers de scénarios. Les itinéraires les plus efficaces sont identifiés et automatiquement adaptés aux conditions actuelles.</w:t>
      </w:r>
      <w:r w:rsidR="005254AE">
        <w:rPr>
          <w:lang w:val="fr-FR"/>
        </w:rPr>
        <w:t xml:space="preserve"> </w:t>
      </w:r>
      <w:r w:rsidRPr="00616A4B">
        <w:rPr>
          <w:lang w:val="fr-FR"/>
        </w:rPr>
        <w:t>En combinaison avec le TMS de Bluerock, il en résulte un système apprenant qui non seulement détecte les perturbations, mais y réagit également automatiquement. Les planificateurs voient immédiatement dans le tableau de bord Bluerock les retards, les arrivées tardives ou les goulets d’étranglement de capacité, tandis que Greenplan génère l’alternative optimale sans intervention manuelle.</w:t>
      </w:r>
    </w:p>
    <w:p w14:paraId="5EEDED8E" w14:textId="77777777" w:rsidR="005254AE" w:rsidRPr="00616A4B" w:rsidRDefault="005254AE" w:rsidP="00616A4B">
      <w:pPr>
        <w:spacing w:line="360" w:lineRule="auto"/>
        <w:rPr>
          <w:lang w:val="fr-FR"/>
        </w:rPr>
      </w:pPr>
    </w:p>
    <w:p w14:paraId="72964BB7" w14:textId="77777777" w:rsidR="00616A4B" w:rsidRDefault="00616A4B" w:rsidP="005254AE">
      <w:pPr>
        <w:spacing w:line="360" w:lineRule="auto"/>
        <w:rPr>
          <w:lang w:val="fr-FR"/>
        </w:rPr>
      </w:pPr>
      <w:r w:rsidRPr="00616A4B">
        <w:rPr>
          <w:lang w:val="fr-FR"/>
        </w:rPr>
        <w:t>Rico van Leuken, CEO de Bluerock, ajoute :</w:t>
      </w:r>
      <w:r w:rsidRPr="00616A4B">
        <w:rPr>
          <w:lang w:val="fr-FR"/>
        </w:rPr>
        <w:br/>
        <w:t>« Greenplan apporte à notre TMS une dimension qui va bien au-delà de la visibilité traditionnelle. Nos clients bénéficient d’une solution qui combine la puissance d’un système de gestion des transports utilisé à l’échelle mondiale avec la précision de l’optimisation mathématique. Le résultat : des réseaux robustes, dynamiques et tournés vers l’avenir. »</w:t>
      </w:r>
    </w:p>
    <w:p w14:paraId="1C37DBEB" w14:textId="77777777" w:rsidR="005254AE" w:rsidRDefault="005254AE" w:rsidP="005254AE">
      <w:pPr>
        <w:spacing w:line="360" w:lineRule="auto"/>
        <w:rPr>
          <w:lang w:val="fr-FR"/>
        </w:rPr>
      </w:pPr>
    </w:p>
    <w:p w14:paraId="63AA16AE" w14:textId="77777777" w:rsidR="005254AE" w:rsidRDefault="005254AE" w:rsidP="005254AE">
      <w:pPr>
        <w:spacing w:line="360" w:lineRule="auto"/>
        <w:rPr>
          <w:lang w:val="fr-FR"/>
        </w:rPr>
      </w:pPr>
    </w:p>
    <w:p w14:paraId="0026957D" w14:textId="77777777" w:rsidR="005254AE" w:rsidRPr="00616A4B" w:rsidRDefault="005254AE" w:rsidP="005254AE">
      <w:pPr>
        <w:spacing w:line="360" w:lineRule="auto"/>
        <w:rPr>
          <w:lang w:val="fr-FR"/>
        </w:rPr>
      </w:pPr>
    </w:p>
    <w:p w14:paraId="39B431AD" w14:textId="77777777" w:rsidR="005254AE" w:rsidRDefault="005254AE" w:rsidP="005254AE">
      <w:pPr>
        <w:spacing w:line="360" w:lineRule="auto"/>
      </w:pPr>
    </w:p>
    <w:p w14:paraId="0AE3944F" w14:textId="5B3274B5" w:rsidR="00616A4B" w:rsidRPr="00616A4B" w:rsidRDefault="00616A4B" w:rsidP="005254AE">
      <w:pPr>
        <w:spacing w:line="360" w:lineRule="auto"/>
        <w:rPr>
          <w:b/>
          <w:bCs/>
          <w:lang w:val="fr-FR"/>
        </w:rPr>
      </w:pPr>
      <w:r w:rsidRPr="00616A4B">
        <w:rPr>
          <w:b/>
          <w:bCs/>
          <w:lang w:val="fr-FR"/>
        </w:rPr>
        <w:lastRenderedPageBreak/>
        <w:t>Portée mondiale et perspective durable</w:t>
      </w:r>
    </w:p>
    <w:p w14:paraId="57BD52AB" w14:textId="77777777" w:rsidR="00616A4B" w:rsidRPr="00616A4B" w:rsidRDefault="00616A4B" w:rsidP="00616A4B">
      <w:pPr>
        <w:spacing w:line="360" w:lineRule="auto"/>
        <w:rPr>
          <w:lang w:val="fr-FR"/>
        </w:rPr>
      </w:pPr>
      <w:r w:rsidRPr="00616A4B">
        <w:rPr>
          <w:lang w:val="fr-FR"/>
        </w:rPr>
        <w:t>Aujourd’hui, Bluerock est utilisé par des entreprises sur trois continents et est reconnu pour son utilisation intuitive et sa grande transparence. Avec l’intégration de l’optimisation Greenplan, le TMS gagne une dimension supplémentaire : la planification des itinéraires devient un véritable outil de pilotage qui associe efficacité économique et responsabilité écologique.</w:t>
      </w:r>
    </w:p>
    <w:p w14:paraId="0941F8A6" w14:textId="3F5F2488" w:rsidR="00616A4B" w:rsidRDefault="00616A4B" w:rsidP="00616A4B">
      <w:pPr>
        <w:spacing w:line="360" w:lineRule="auto"/>
        <w:rPr>
          <w:lang w:val="fr-FR"/>
        </w:rPr>
      </w:pPr>
      <w:r w:rsidRPr="00616A4B">
        <w:rPr>
          <w:lang w:val="fr-FR"/>
        </w:rPr>
        <w:t>Pour EPG, ce partenariat marque une nouvelle étape dans l’expansion de son réseau international de partenaires. L’entreprise poursuit l’objectif de connecter les innovations technologiques à l’échelle mondiale et d’établir, avec des fournisseurs de premier plan, de nouveaux standards dans la logistique numérique du transport.</w:t>
      </w:r>
      <w:r w:rsidR="005254AE">
        <w:rPr>
          <w:lang w:val="fr-FR"/>
        </w:rPr>
        <w:t xml:space="preserve"> </w:t>
      </w:r>
      <w:r w:rsidRPr="00616A4B">
        <w:rPr>
          <w:lang w:val="fr-FR"/>
        </w:rPr>
        <w:t>La combinaison de la technologie de routage avancée de Greenplan et de la portée mondiale de Bluerock constitue une base solide pour cette vision.</w:t>
      </w:r>
    </w:p>
    <w:p w14:paraId="45C3CAFF" w14:textId="77777777" w:rsidR="005254AE" w:rsidRPr="00616A4B" w:rsidRDefault="005254AE" w:rsidP="00616A4B">
      <w:pPr>
        <w:spacing w:line="360" w:lineRule="auto"/>
        <w:rPr>
          <w:lang w:val="fr-FR"/>
        </w:rPr>
      </w:pPr>
    </w:p>
    <w:p w14:paraId="42ECB6A5" w14:textId="77777777" w:rsidR="00616A4B" w:rsidRPr="00616A4B" w:rsidRDefault="00616A4B" w:rsidP="00616A4B">
      <w:pPr>
        <w:spacing w:line="360" w:lineRule="auto"/>
        <w:rPr>
          <w:lang w:val="fr-FR"/>
        </w:rPr>
      </w:pPr>
      <w:r w:rsidRPr="00616A4B">
        <w:rPr>
          <w:lang w:val="fr-FR"/>
        </w:rPr>
        <w:t>« La durabilité et l’efficacité ne sont pas des opposés, mais des facteurs qui se renforcent mutuellement », conclut Dr. Beckmann. « Les mêmes données qui permettent de réduire les coûts rendent également possible une mesure précise et une réduction des émissions. La logistique moderne devient à la fois plus économique et plus responsable. »</w:t>
      </w:r>
    </w:p>
    <w:p w14:paraId="4B555CC9" w14:textId="77777777" w:rsidR="008D245A" w:rsidRPr="00616A4B" w:rsidRDefault="008D245A" w:rsidP="00EB468C">
      <w:pPr>
        <w:spacing w:line="360" w:lineRule="auto"/>
        <w:rPr>
          <w:b/>
          <w:bCs/>
          <w:lang w:val="fr-FR"/>
        </w:rPr>
      </w:pPr>
    </w:p>
    <w:p w14:paraId="2FADBF0B" w14:textId="58CBD927" w:rsidR="00D8142E" w:rsidRPr="00D8142E"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eastAsia="Arial" w:hAnsi="Arial" w:cs="Arial"/>
          <w:b/>
          <w:bCs/>
          <w:color w:val="FF0000"/>
          <w:sz w:val="22"/>
          <w:szCs w:val="22"/>
          <w:u w:color="FF0000"/>
          <w:lang w:val="fr-FR"/>
        </w:rPr>
      </w:pPr>
      <w:bookmarkStart w:id="0" w:name="_Hlk32841333"/>
      <w:r w:rsidRPr="00D8142E">
        <w:rPr>
          <w:rFonts w:ascii="Arial" w:hAnsi="Arial"/>
          <w:b/>
          <w:sz w:val="22"/>
          <w:u w:color="000000"/>
          <w:lang w:val="fr-FR"/>
        </w:rPr>
        <w:t xml:space="preserve">Publication :  </w:t>
      </w:r>
      <w:r w:rsidRPr="00D8142E">
        <w:rPr>
          <w:rFonts w:ascii="Arial" w:hAnsi="Arial"/>
          <w:b/>
          <w:sz w:val="22"/>
          <w:u w:color="000000"/>
          <w:lang w:val="fr-FR"/>
        </w:rPr>
        <w:tab/>
      </w:r>
      <w:r>
        <w:rPr>
          <w:rFonts w:ascii="Arial" w:hAnsi="Arial"/>
          <w:b/>
          <w:sz w:val="22"/>
          <w:u w:color="000000"/>
          <w:lang w:val="fr-FR"/>
        </w:rPr>
        <w:t>10</w:t>
      </w:r>
      <w:r w:rsidRPr="00D8142E">
        <w:rPr>
          <w:rFonts w:ascii="Arial" w:hAnsi="Arial"/>
          <w:b/>
          <w:sz w:val="22"/>
          <w:u w:color="000000"/>
          <w:lang w:val="fr-FR"/>
        </w:rPr>
        <w:t xml:space="preserve"> mars 202</w:t>
      </w:r>
      <w:r>
        <w:rPr>
          <w:rFonts w:ascii="Arial" w:hAnsi="Arial"/>
          <w:b/>
          <w:sz w:val="22"/>
          <w:u w:color="000000"/>
          <w:lang w:val="fr-FR"/>
        </w:rPr>
        <w:t>6</w:t>
      </w:r>
    </w:p>
    <w:p w14:paraId="3786CFCE" w14:textId="77777777" w:rsidR="00D8142E" w:rsidRPr="00D8142E"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eastAsia="Arial" w:hAnsi="Arial" w:cs="Arial"/>
          <w:b/>
          <w:bCs/>
          <w:sz w:val="22"/>
          <w:szCs w:val="22"/>
          <w:u w:color="000000"/>
          <w:lang w:val="fr-FR"/>
        </w:rPr>
      </w:pPr>
      <w:r w:rsidRPr="00D8142E">
        <w:rPr>
          <w:rFonts w:ascii="Arial" w:hAnsi="Arial"/>
          <w:b/>
          <w:sz w:val="22"/>
          <w:u w:color="000000"/>
          <w:lang w:val="fr-FR"/>
        </w:rPr>
        <w:t xml:space="preserve">Nombre de mots : </w:t>
      </w:r>
      <w:r w:rsidRPr="00D8142E">
        <w:rPr>
          <w:rFonts w:ascii="Arial" w:hAnsi="Arial"/>
          <w:b/>
          <w:sz w:val="22"/>
          <w:u w:color="000000"/>
          <w:lang w:val="fr-FR"/>
        </w:rPr>
        <w:tab/>
        <w:t>1 645 caractères espaces compris</w:t>
      </w:r>
    </w:p>
    <w:p w14:paraId="49DEDE43" w14:textId="76B11E98" w:rsidR="00D8142E" w:rsidRPr="004E6F2D" w:rsidRDefault="00D8142E" w:rsidP="00D8142E">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ind w:left="1415" w:hanging="1415"/>
        <w:jc w:val="both"/>
        <w:rPr>
          <w:rFonts w:ascii="Arial" w:hAnsi="Arial"/>
          <w:b/>
          <w:bCs/>
          <w:sz w:val="22"/>
          <w:szCs w:val="22"/>
          <w:u w:color="000000"/>
          <w:lang w:val="fr-FR"/>
        </w:rPr>
      </w:pPr>
      <w:r w:rsidRPr="004E6F2D">
        <w:rPr>
          <w:rFonts w:ascii="Arial" w:hAnsi="Arial"/>
          <w:b/>
          <w:sz w:val="22"/>
          <w:u w:color="000000"/>
          <w:lang w:val="fr-FR"/>
        </w:rPr>
        <w:t>Photos :</w:t>
      </w:r>
      <w:r w:rsidRPr="004E6F2D">
        <w:rPr>
          <w:rFonts w:ascii="Arial" w:hAnsi="Arial"/>
          <w:b/>
          <w:sz w:val="22"/>
          <w:u w:color="000000"/>
          <w:lang w:val="fr-FR"/>
        </w:rPr>
        <w:tab/>
      </w:r>
      <w:r w:rsidRPr="004E6F2D">
        <w:rPr>
          <w:rFonts w:ascii="Arial" w:hAnsi="Arial"/>
          <w:b/>
          <w:sz w:val="22"/>
          <w:u w:color="000000"/>
          <w:lang w:val="fr-FR"/>
        </w:rPr>
        <w:tab/>
      </w:r>
      <w:r w:rsidRPr="004E6F2D">
        <w:rPr>
          <w:rFonts w:ascii="Arial" w:hAnsi="Arial"/>
          <w:b/>
          <w:sz w:val="22"/>
          <w:u w:color="000000"/>
          <w:lang w:val="fr-FR"/>
        </w:rPr>
        <w:tab/>
      </w:r>
      <w:r w:rsidR="004E6F2D">
        <w:rPr>
          <w:rFonts w:ascii="Arial" w:hAnsi="Arial"/>
          <w:b/>
          <w:sz w:val="22"/>
          <w:u w:color="000000"/>
          <w:lang w:val="fr-FR"/>
        </w:rPr>
        <w:t>3</w:t>
      </w:r>
    </w:p>
    <w:p w14:paraId="2ED5BE8A" w14:textId="77777777" w:rsidR="005B5BF0" w:rsidRPr="004E6F2D" w:rsidRDefault="005B5BF0" w:rsidP="00A61C15">
      <w:pPr>
        <w:spacing w:after="180" w:line="312" w:lineRule="auto"/>
        <w:rPr>
          <w:kern w:val="24"/>
          <w:sz w:val="20"/>
          <w:szCs w:val="20"/>
          <w:lang w:val="fr-FR"/>
        </w:rPr>
      </w:pPr>
    </w:p>
    <w:bookmarkEnd w:id="0"/>
    <w:p w14:paraId="4064DDD7"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12" w:lineRule="auto"/>
        <w:jc w:val="both"/>
        <w:rPr>
          <w:rFonts w:ascii="Arial" w:eastAsia="Arial" w:hAnsi="Arial" w:cs="Arial"/>
          <w:b/>
          <w:bCs/>
          <w:kern w:val="24"/>
          <w:sz w:val="20"/>
          <w:szCs w:val="20"/>
          <w:u w:color="000000"/>
          <w:lang w:val="fr-FR"/>
        </w:rPr>
      </w:pPr>
      <w:r w:rsidRPr="004E6F2D">
        <w:rPr>
          <w:rFonts w:ascii="Arial" w:hAnsi="Arial"/>
          <w:b/>
          <w:sz w:val="20"/>
          <w:u w:color="000000"/>
          <w:lang w:val="fr-FR"/>
        </w:rPr>
        <w:t>EPG – Smarter Connected Logistics</w:t>
      </w:r>
    </w:p>
    <w:p w14:paraId="789F5579"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60" w:lineRule="auto"/>
        <w:jc w:val="both"/>
        <w:rPr>
          <w:rFonts w:ascii="Arial" w:eastAsia="Arial" w:hAnsi="Arial" w:cs="Arial"/>
          <w:sz w:val="20"/>
          <w:szCs w:val="20"/>
          <w:u w:color="000000"/>
          <w:lang w:val="fr-FR"/>
        </w:rPr>
      </w:pPr>
      <w:r w:rsidRPr="004E6F2D">
        <w:rPr>
          <w:rFonts w:ascii="Arial" w:hAnsi="Arial"/>
          <w:sz w:val="20"/>
          <w:u w:color="000000"/>
          <w:lang w:val="fr-FR"/>
        </w:rPr>
        <w:t>EPG est le fournisseur international d’une suite logicielle d’exécution de chaîne d’approvisionnement (EPG ONE</w:t>
      </w:r>
      <w:r w:rsidRPr="004E6F2D">
        <w:rPr>
          <w:rFonts w:ascii="Arial" w:hAnsi="Arial"/>
          <w:color w:val="202124"/>
          <w:sz w:val="20"/>
          <w:u w:color="202124"/>
          <w:shd w:val="clear" w:color="auto" w:fill="FFFFFF"/>
          <w:lang w:val="fr-FR"/>
        </w:rPr>
        <w:t>™</w:t>
      </w:r>
      <w:r w:rsidRPr="004E6F2D">
        <w:rPr>
          <w:rFonts w:ascii="Arial" w:hAnsi="Arial"/>
          <w:sz w:val="20"/>
          <w:u w:color="000000"/>
          <w:lang w:val="fr-FR"/>
        </w:rPr>
        <w:t>) de premier plan, et emploie 1 000 personnes sur 23 sites dans le monde. Le Groupe fournit à plus de 1600 clients des solutions WMS, WCS, WFM et TMS, ainsi que des solutions vocales pour optimiser les processus logistiques dans tous types d’environnements, qu’ils soient manuels ou entièrement automatisés. Les solutions EPG couvrent l'ensemble de la chaîne d'approvisionnement : depuis l’entrepôt et le transport jusqu’aux solutions de gestion des chargements et de manutention au sol dans les aéroports. Avec la suite EPG AES™ (Aviation Execution Suite), EPG offre une solution tout-en-un pour la logistique aéroportuaire et la manutention au sol. Conseil en logistique, services Cloud, services gérés et formations à la logistique dans les locaux de la société font partie de la panoplie complète de solutions proposées par EPG.</w:t>
      </w:r>
    </w:p>
    <w:p w14:paraId="139EF108"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eastAsia="Times New Roman" w:hAnsi="Times New Roman" w:cs="Times New Roman"/>
          <w:sz w:val="20"/>
          <w:szCs w:val="20"/>
          <w:u w:color="000000"/>
          <w:lang w:val="fr-FR"/>
        </w:rPr>
      </w:pPr>
    </w:p>
    <w:p w14:paraId="53916CF0" w14:textId="77777777" w:rsidR="004E6F2D" w:rsidRPr="004E6F2D"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8"/>
        <w:rPr>
          <w:rFonts w:ascii="Arial" w:eastAsia="Arial" w:hAnsi="Arial" w:cs="Arial"/>
          <w:b/>
          <w:bCs/>
          <w:sz w:val="22"/>
          <w:szCs w:val="22"/>
          <w:u w:color="000000"/>
          <w:lang w:val="fr-FR"/>
        </w:rPr>
      </w:pPr>
      <w:r w:rsidRPr="004E6F2D">
        <w:rPr>
          <w:rFonts w:ascii="Arial" w:hAnsi="Arial"/>
          <w:b/>
          <w:sz w:val="22"/>
          <w:u w:color="000000"/>
          <w:lang w:val="fr-FR"/>
        </w:rPr>
        <w:t xml:space="preserve">Coordonnées de l’entreprise </w:t>
      </w:r>
    </w:p>
    <w:p w14:paraId="0D0D1366" w14:textId="77777777" w:rsidR="004E6F2D" w:rsidRP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4E6F2D">
        <w:rPr>
          <w:rFonts w:ascii="Arial" w:hAnsi="Arial"/>
          <w:sz w:val="20"/>
          <w:u w:color="000000"/>
          <w:lang w:val="fr-FR"/>
        </w:rPr>
        <w:t>EPG – Ehrhardt Partner Group</w:t>
      </w:r>
    </w:p>
    <w:p w14:paraId="49ADEC39"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6556B7">
        <w:rPr>
          <w:rFonts w:ascii="Arial" w:hAnsi="Arial"/>
          <w:sz w:val="20"/>
          <w:u w:color="000000"/>
        </w:rPr>
        <w:lastRenderedPageBreak/>
        <w:t>Dennis Kunz</w:t>
      </w:r>
    </w:p>
    <w:p w14:paraId="304C1B14"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6556B7">
        <w:rPr>
          <w:rFonts w:ascii="Arial" w:hAnsi="Arial"/>
          <w:sz w:val="20"/>
          <w:u w:color="000000"/>
        </w:rPr>
        <w:t xml:space="preserve">Tél. : (+49) 67 42-87 27 0 </w:t>
      </w:r>
    </w:p>
    <w:p w14:paraId="72B795F8"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6556B7">
        <w:rPr>
          <w:rFonts w:ascii="Arial" w:hAnsi="Arial"/>
          <w:sz w:val="20"/>
          <w:u w:color="000000"/>
        </w:rPr>
        <w:t>E-Mail : presse@epg.com • Internet : www.epg.com</w:t>
      </w:r>
    </w:p>
    <w:p w14:paraId="080144C8" w14:textId="77777777" w:rsidR="004E6F2D"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p>
    <w:p w14:paraId="33B85F89" w14:textId="77777777" w:rsidR="004E6F2D" w:rsidRPr="002E29DB" w:rsidRDefault="004E6F2D" w:rsidP="004E6F2D">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2"/>
        <w:rPr>
          <w:rFonts w:ascii="Arial" w:eastAsia="Arial" w:hAnsi="Arial" w:cs="Arial"/>
          <w:b/>
          <w:bCs/>
          <w:sz w:val="22"/>
          <w:szCs w:val="22"/>
          <w:u w:color="000000"/>
        </w:rPr>
      </w:pPr>
      <w:r w:rsidRPr="002E29DB">
        <w:rPr>
          <w:rFonts w:ascii="Arial" w:hAnsi="Arial"/>
          <w:b/>
          <w:sz w:val="22"/>
          <w:u w:color="000000"/>
        </w:rPr>
        <w:t>Relations publiques</w:t>
      </w:r>
    </w:p>
    <w:p w14:paraId="4335CB0F"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Rebecca Schlag • BFOUND GmbH</w:t>
      </w:r>
    </w:p>
    <w:p w14:paraId="01BBD273" w14:textId="77777777" w:rsidR="004E6F2D" w:rsidRPr="002E29DB"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rPr>
      </w:pPr>
      <w:r w:rsidRPr="002E29DB">
        <w:rPr>
          <w:rFonts w:ascii="Arial" w:hAnsi="Arial"/>
          <w:sz w:val="20"/>
          <w:u w:color="000000"/>
        </w:rPr>
        <w:t>Alte Römerstraße 3 • D-56154 Boppard-Buchholz</w:t>
      </w:r>
    </w:p>
    <w:p w14:paraId="1D852AA5"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eastAsia="Arial" w:hAnsi="Arial" w:cs="Arial"/>
          <w:kern w:val="24"/>
          <w:sz w:val="20"/>
          <w:szCs w:val="20"/>
          <w:u w:color="000000"/>
          <w:lang w:val="fr-FR"/>
        </w:rPr>
      </w:pPr>
      <w:r w:rsidRPr="006556B7">
        <w:rPr>
          <w:rFonts w:ascii="Arial" w:hAnsi="Arial"/>
          <w:sz w:val="20"/>
          <w:u w:color="000000"/>
          <w:lang w:val="fr-FR"/>
        </w:rPr>
        <w:t>Tél. : (+49) 67 42-87 27 50 00 • Fax : (+49) 67 42-87 27 50</w:t>
      </w:r>
    </w:p>
    <w:p w14:paraId="18C1BD82" w14:textId="77777777" w:rsidR="004E6F2D" w:rsidRPr="006556B7" w:rsidRDefault="004E6F2D" w:rsidP="004E6F2D">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lang w:val="fr-FR"/>
        </w:rPr>
      </w:pPr>
      <w:r w:rsidRPr="006556B7">
        <w:rPr>
          <w:rFonts w:ascii="Arial" w:hAnsi="Arial"/>
          <w:sz w:val="20"/>
          <w:u w:color="000000"/>
          <w:lang w:val="fr-FR"/>
        </w:rPr>
        <w:t>E-Mail : rebecca.schlag@bfound.com • presse@epg.com • Internet : www.bfound.com</w:t>
      </w:r>
    </w:p>
    <w:p w14:paraId="045EEB89" w14:textId="77777777" w:rsidR="001B7EF2" w:rsidRPr="004E6F2D" w:rsidRDefault="001B7EF2" w:rsidP="004E6F2D">
      <w:pPr>
        <w:spacing w:after="180" w:line="312" w:lineRule="auto"/>
        <w:rPr>
          <w:kern w:val="24"/>
          <w:sz w:val="20"/>
          <w:szCs w:val="20"/>
          <w:lang w:val="fr-FR"/>
        </w:rPr>
      </w:pPr>
    </w:p>
    <w:sectPr w:rsidR="001B7EF2" w:rsidRPr="004E6F2D" w:rsidSect="00543DBA">
      <w:headerReference w:type="default" r:id="rId10"/>
      <w:footerReference w:type="default" r:id="rId11"/>
      <w:pgSz w:w="11906" w:h="16838"/>
      <w:pgMar w:top="2275" w:right="1699"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1D0A" w14:textId="77777777" w:rsidR="00022516" w:rsidRDefault="00022516" w:rsidP="008205FF">
      <w:r>
        <w:separator/>
      </w:r>
    </w:p>
  </w:endnote>
  <w:endnote w:type="continuationSeparator" w:id="0">
    <w:p w14:paraId="4D548B19" w14:textId="77777777" w:rsidR="00022516" w:rsidRDefault="00022516" w:rsidP="008205FF">
      <w:r>
        <w:continuationSeparator/>
      </w:r>
    </w:p>
  </w:endnote>
  <w:endnote w:type="continuationNotice" w:id="1">
    <w:p w14:paraId="3F8AD61A" w14:textId="77777777" w:rsidR="00022516" w:rsidRDefault="0002251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B909" w14:textId="77777777" w:rsidR="00022516" w:rsidRDefault="00022516" w:rsidP="008205FF">
      <w:r>
        <w:separator/>
      </w:r>
    </w:p>
  </w:footnote>
  <w:footnote w:type="continuationSeparator" w:id="0">
    <w:p w14:paraId="2DEFF354" w14:textId="77777777" w:rsidR="00022516" w:rsidRDefault="00022516" w:rsidP="008205FF">
      <w:r>
        <w:continuationSeparator/>
      </w:r>
    </w:p>
  </w:footnote>
  <w:footnote w:type="continuationNotice" w:id="1">
    <w:p w14:paraId="3F070CC2" w14:textId="77777777" w:rsidR="00022516" w:rsidRDefault="0002251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041608">
      <w:rPr>
        <w:noProof/>
        <w:color w:val="7F7F7F" w:themeColor="text1" w:themeTint="80"/>
        <w:sz w:val="16"/>
        <w:szCs w:val="16"/>
      </w:rPr>
      <w:drawing>
        <wp:anchor distT="0" distB="0" distL="114300" distR="114300" simplePos="0" relativeHeight="251658240" behindDoc="0" locked="0" layoutInCell="1" allowOverlap="1" wp14:anchorId="0775B0AE" wp14:editId="2C100F32">
          <wp:simplePos x="0" y="0"/>
          <wp:positionH relativeFrom="margin">
            <wp:posOffset>4949825</wp:posOffset>
          </wp:positionH>
          <wp:positionV relativeFrom="margin">
            <wp:posOffset>-831215</wp:posOffset>
          </wp:positionV>
          <wp:extent cx="1093470" cy="499745"/>
          <wp:effectExtent l="0" t="0" r="0"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347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041608">
      <w:rPr>
        <w:rFonts w:ascii="Arial" w:hAnsi="Arial"/>
        <w:b/>
        <w:color w:val="7F7F7F" w:themeColor="text1" w:themeTint="80"/>
        <w:sz w:val="32"/>
        <w:szCs w:val="16"/>
      </w:rPr>
      <w:t>Pressemitteilun</w:t>
    </w:r>
    <w:r w:rsidR="00604D63" w:rsidRPr="00041608">
      <w:rPr>
        <w:rFonts w:ascii="Arial" w:hAnsi="Arial"/>
        <w:b/>
        <w:color w:val="7F7F7F" w:themeColor="text1" w:themeTint="80"/>
        <w:sz w:val="32"/>
        <w:szCs w:val="16"/>
      </w:rPr>
      <w:t>g</w:t>
    </w:r>
    <w:r w:rsidR="00604D63">
      <w:rPr>
        <w:rFonts w:ascii="Arial" w:hAnsi="Arial"/>
        <w:b/>
        <w:color w:val="7F7F7F" w:themeColor="text1" w:themeTint="80"/>
        <w:sz w:val="40"/>
      </w:rPr>
      <w:t xml:space="preserv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2516"/>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161"/>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DB6"/>
    <w:rsid w:val="00426F51"/>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6F2D"/>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54AE"/>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17E"/>
    <w:rsid w:val="005C2396"/>
    <w:rsid w:val="005C2405"/>
    <w:rsid w:val="005C2D05"/>
    <w:rsid w:val="005C3B2E"/>
    <w:rsid w:val="005C40D0"/>
    <w:rsid w:val="005C4873"/>
    <w:rsid w:val="005C4B99"/>
    <w:rsid w:val="005C5CA1"/>
    <w:rsid w:val="005C6029"/>
    <w:rsid w:val="005C6BC9"/>
    <w:rsid w:val="005C6EB9"/>
    <w:rsid w:val="005D0242"/>
    <w:rsid w:val="005D0254"/>
    <w:rsid w:val="005D0274"/>
    <w:rsid w:val="005D12B0"/>
    <w:rsid w:val="005D17CF"/>
    <w:rsid w:val="005D1C58"/>
    <w:rsid w:val="005D2AC2"/>
    <w:rsid w:val="005D5EDE"/>
    <w:rsid w:val="005D6683"/>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703"/>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A4B"/>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1ACE"/>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393A"/>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48D3"/>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42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21E9"/>
    <w:rsid w:val="00FF2512"/>
    <w:rsid w:val="00FF4E73"/>
    <w:rsid w:val="00FF589F"/>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8B4998"/>
    <w:rsid w:val="798C86F7"/>
    <w:rsid w:val="7A4BE3AB"/>
    <w:rsid w:val="7A74BEFA"/>
    <w:rsid w:val="7B402DEF"/>
    <w:rsid w:val="7BF7EA25"/>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48C549CE-D0B0-42CF-8422-513E7FC98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6070</Characters>
  <Application>Microsoft Office Word</Application>
  <DocSecurity>0</DocSecurity>
  <Lines>50</Lines>
  <Paragraphs>14</Paragraphs>
  <ScaleCrop>false</ScaleCrop>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6</cp:revision>
  <dcterms:created xsi:type="dcterms:W3CDTF">2026-03-10T08:47:00Z</dcterms:created>
  <dcterms:modified xsi:type="dcterms:W3CDTF">2026-03-10T09:00:00Z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