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81C6F" w14:textId="77777777" w:rsidR="006F1957" w:rsidRPr="006F1957" w:rsidRDefault="006F1957" w:rsidP="006F1957">
      <w:pPr>
        <w:jc w:val="center"/>
        <w:rPr>
          <w:lang w:val="en-US"/>
        </w:rPr>
      </w:pPr>
      <w:r w:rsidRPr="007E561C">
        <w:rPr>
          <w:b/>
          <w:bCs/>
          <w:lang w:val="en-US"/>
        </w:rPr>
        <w:t>60 Years of Logistics Expertise</w:t>
      </w:r>
      <w:r w:rsidRPr="006F1957">
        <w:rPr>
          <w:lang w:val="en-US"/>
        </w:rPr>
        <w:br/>
      </w:r>
      <w:proofErr w:type="spellStart"/>
      <w:r w:rsidRPr="00392E47">
        <w:rPr>
          <w:b/>
          <w:bCs/>
          <w:sz w:val="32"/>
          <w:szCs w:val="32"/>
          <w:lang w:val="en-US"/>
        </w:rPr>
        <w:t>Groenewout</w:t>
      </w:r>
      <w:proofErr w:type="spellEnd"/>
      <w:r w:rsidRPr="00392E47">
        <w:rPr>
          <w:b/>
          <w:bCs/>
          <w:sz w:val="32"/>
          <w:szCs w:val="32"/>
          <w:lang w:val="en-US"/>
        </w:rPr>
        <w:t xml:space="preserve"> Celebrates Anniversary in the Netherlands</w:t>
      </w:r>
    </w:p>
    <w:p w14:paraId="2967BCC5" w14:textId="1CB59AE9" w:rsidR="006F1957" w:rsidRPr="00353CED" w:rsidRDefault="006F1957" w:rsidP="001478A6">
      <w:pPr>
        <w:spacing w:line="360" w:lineRule="auto"/>
        <w:rPr>
          <w:b/>
          <w:bCs/>
          <w:lang w:val="en-US"/>
        </w:rPr>
      </w:pPr>
      <w:r w:rsidRPr="7ADC3C27">
        <w:rPr>
          <w:b/>
          <w:bCs/>
          <w:lang w:val="en-US"/>
        </w:rPr>
        <w:t xml:space="preserve">Six decades of company history, more than 4,500 completed projects, and a clear vision for the future of logistics: Dutch logistics and supply chain consultancy </w:t>
      </w:r>
      <w:proofErr w:type="spellStart"/>
      <w:r w:rsidRPr="7ADC3C27">
        <w:rPr>
          <w:b/>
          <w:bCs/>
          <w:lang w:val="en-US"/>
        </w:rPr>
        <w:t>Groenewout</w:t>
      </w:r>
      <w:proofErr w:type="spellEnd"/>
      <w:r w:rsidRPr="7ADC3C27">
        <w:rPr>
          <w:b/>
          <w:bCs/>
          <w:lang w:val="en-US"/>
        </w:rPr>
        <w:t xml:space="preserve"> celebrated its 60th anniversary together with customers, partners, and employees. </w:t>
      </w:r>
      <w:r w:rsidRPr="00353CED">
        <w:rPr>
          <w:b/>
          <w:bCs/>
          <w:lang w:val="en-US"/>
        </w:rPr>
        <w:t xml:space="preserve">Around </w:t>
      </w:r>
      <w:r w:rsidR="6F1E396D" w:rsidRPr="00353CED">
        <w:rPr>
          <w:b/>
          <w:bCs/>
          <w:lang w:val="en-US"/>
        </w:rPr>
        <w:t>100</w:t>
      </w:r>
      <w:r w:rsidRPr="00353CED">
        <w:rPr>
          <w:b/>
          <w:bCs/>
          <w:lang w:val="en-US"/>
        </w:rPr>
        <w:t xml:space="preserve"> guests gathered at the historic </w:t>
      </w:r>
      <w:proofErr w:type="spellStart"/>
      <w:r w:rsidRPr="00353CED">
        <w:rPr>
          <w:b/>
          <w:bCs/>
          <w:lang w:val="en-US"/>
        </w:rPr>
        <w:t>Bovendonk</w:t>
      </w:r>
      <w:proofErr w:type="spellEnd"/>
      <w:r w:rsidRPr="00353CED">
        <w:rPr>
          <w:b/>
          <w:bCs/>
          <w:lang w:val="en-US"/>
        </w:rPr>
        <w:t xml:space="preserve"> Monastery in Hoeven to reflect on the company’s development while discussing the challenges and opportunities that lie ahead for the industry.</w:t>
      </w:r>
    </w:p>
    <w:p w14:paraId="0BC1A15E" w14:textId="77777777" w:rsidR="006F1957" w:rsidRPr="00353CED" w:rsidRDefault="006F1957" w:rsidP="001478A6">
      <w:pPr>
        <w:spacing w:line="360" w:lineRule="auto"/>
        <w:rPr>
          <w:lang w:val="en-US"/>
        </w:rPr>
      </w:pPr>
      <w:r w:rsidRPr="00353CED">
        <w:rPr>
          <w:lang w:val="en-US"/>
        </w:rPr>
        <w:t xml:space="preserve">What began in 1966 as an engineering consultancy founded by Cor </w:t>
      </w:r>
      <w:proofErr w:type="spellStart"/>
      <w:r w:rsidRPr="00353CED">
        <w:rPr>
          <w:lang w:val="en-US"/>
        </w:rPr>
        <w:t>Groenewout</w:t>
      </w:r>
      <w:proofErr w:type="spellEnd"/>
      <w:r w:rsidRPr="00353CED">
        <w:rPr>
          <w:lang w:val="en-US"/>
        </w:rPr>
        <w:t xml:space="preserve"> evolved over the decades into one of the Benelux region’s leading independent logistics and supply chain consultancies. While the company’s early years focused primarily on technical engineering projects and building-related initiatives, its expertise gradually expanded toward the design and optimization of logistics networks, warehouse operations, and supply chain processes. Since its founding, </w:t>
      </w:r>
      <w:proofErr w:type="spellStart"/>
      <w:r w:rsidRPr="00353CED">
        <w:rPr>
          <w:lang w:val="en-US"/>
        </w:rPr>
        <w:t>Groenewout</w:t>
      </w:r>
      <w:proofErr w:type="spellEnd"/>
      <w:r w:rsidRPr="00353CED">
        <w:rPr>
          <w:lang w:val="en-US"/>
        </w:rPr>
        <w:t xml:space="preserve"> has successfully delivered more than 4,500 projects for over 1,300 customers across 42 countries. In the past decade alone, the company has completed an average of 75 projects annually for approximately 55 different customers. Supported by a team of around 20 employees and a network of specialized consultants, </w:t>
      </w:r>
      <w:proofErr w:type="spellStart"/>
      <w:r w:rsidRPr="00353CED">
        <w:rPr>
          <w:lang w:val="en-US"/>
        </w:rPr>
        <w:t>Groenewout</w:t>
      </w:r>
      <w:proofErr w:type="spellEnd"/>
      <w:r w:rsidRPr="00353CED">
        <w:rPr>
          <w:lang w:val="en-US"/>
        </w:rPr>
        <w:t xml:space="preserve"> provides advisory services across the entire supply chain.</w:t>
      </w:r>
    </w:p>
    <w:p w14:paraId="0E0215FF" w14:textId="77777777" w:rsidR="007E561C" w:rsidRPr="00353CED" w:rsidRDefault="007E561C" w:rsidP="001478A6">
      <w:pPr>
        <w:spacing w:line="360" w:lineRule="auto"/>
        <w:jc w:val="center"/>
        <w:rPr>
          <w:lang w:val="en-US"/>
        </w:rPr>
      </w:pPr>
    </w:p>
    <w:p w14:paraId="1E5857C9" w14:textId="2D14B21F" w:rsidR="006F1957" w:rsidRPr="00353CED" w:rsidRDefault="006F1957" w:rsidP="001478A6">
      <w:pPr>
        <w:spacing w:line="360" w:lineRule="auto"/>
        <w:rPr>
          <w:b/>
          <w:bCs/>
          <w:lang w:val="en-US"/>
        </w:rPr>
      </w:pPr>
      <w:r w:rsidRPr="00353CED">
        <w:rPr>
          <w:b/>
          <w:bCs/>
          <w:lang w:val="en-US"/>
        </w:rPr>
        <w:t>An Anniversary Focused on Reflection and Future Perspectives</w:t>
      </w:r>
    </w:p>
    <w:p w14:paraId="006AF471" w14:textId="7B3E0704" w:rsidR="00967ED4" w:rsidRDefault="006F1957" w:rsidP="001478A6">
      <w:pPr>
        <w:spacing w:line="360" w:lineRule="auto"/>
        <w:rPr>
          <w:lang w:val="en-US"/>
        </w:rPr>
      </w:pPr>
      <w:r w:rsidRPr="00353CED">
        <w:rPr>
          <w:lang w:val="en-US"/>
        </w:rPr>
        <w:t xml:space="preserve">The anniversary event at </w:t>
      </w:r>
      <w:proofErr w:type="spellStart"/>
      <w:r w:rsidRPr="00353CED">
        <w:rPr>
          <w:lang w:val="en-US"/>
        </w:rPr>
        <w:t>Bovendonk</w:t>
      </w:r>
      <w:proofErr w:type="spellEnd"/>
      <w:r w:rsidRPr="00353CED">
        <w:rPr>
          <w:lang w:val="en-US"/>
        </w:rPr>
        <w:t xml:space="preserve"> Monastery was deliberately designed to look beyond the company’s past achievements. Approximately </w:t>
      </w:r>
      <w:r w:rsidR="03868393" w:rsidRPr="00353CED">
        <w:rPr>
          <w:lang w:val="en-US"/>
        </w:rPr>
        <w:t>100</w:t>
      </w:r>
      <w:r w:rsidRPr="00353CED">
        <w:rPr>
          <w:lang w:val="en-US"/>
        </w:rPr>
        <w:t xml:space="preserve"> guests took</w:t>
      </w:r>
      <w:r w:rsidRPr="7ADC3C27">
        <w:rPr>
          <w:lang w:val="en-US"/>
        </w:rPr>
        <w:t xml:space="preserve"> the opportunity to exchange experiences, discuss developments within the industry, and explore the requirements that businesses will face in the years ahead. Presentations on leadership, change, personal development, and influence addressed topics that are becoming increasingly relevant in a dynamic business environment. At the same time, the event provided ample opportunity for personal conversations and exchanges with long-standing customers, partners, and industry companions.</w:t>
      </w:r>
      <w:r w:rsidR="007E561C" w:rsidRPr="7ADC3C27">
        <w:rPr>
          <w:lang w:val="en-US"/>
        </w:rPr>
        <w:t xml:space="preserve"> </w:t>
      </w:r>
    </w:p>
    <w:p w14:paraId="0E6C4B95" w14:textId="77777777" w:rsidR="00967ED4" w:rsidRDefault="00967ED4" w:rsidP="001478A6">
      <w:pPr>
        <w:spacing w:line="360" w:lineRule="auto"/>
        <w:rPr>
          <w:lang w:val="en-US"/>
        </w:rPr>
      </w:pPr>
    </w:p>
    <w:p w14:paraId="4BA4D976" w14:textId="2DD2E372" w:rsidR="006F1957" w:rsidRDefault="006F1957" w:rsidP="001478A6">
      <w:pPr>
        <w:spacing w:line="360" w:lineRule="auto"/>
        <w:rPr>
          <w:lang w:val="en-US"/>
        </w:rPr>
      </w:pPr>
      <w:r w:rsidRPr="007E561C">
        <w:rPr>
          <w:lang w:val="en-US"/>
        </w:rPr>
        <w:t xml:space="preserve">“The challenges our customers face </w:t>
      </w:r>
      <w:proofErr w:type="gramStart"/>
      <w:r w:rsidRPr="007E561C">
        <w:rPr>
          <w:lang w:val="en-US"/>
        </w:rPr>
        <w:t>have</w:t>
      </w:r>
      <w:proofErr w:type="gramEnd"/>
      <w:r w:rsidRPr="007E561C">
        <w:rPr>
          <w:lang w:val="en-US"/>
        </w:rPr>
        <w:t xml:space="preserve"> changed continuously over the past 60 years,” says Alain Beerens, Branch Manager at </w:t>
      </w:r>
      <w:proofErr w:type="spellStart"/>
      <w:r w:rsidRPr="007E561C">
        <w:rPr>
          <w:lang w:val="en-US"/>
        </w:rPr>
        <w:t>Groenewout</w:t>
      </w:r>
      <w:proofErr w:type="spellEnd"/>
      <w:r w:rsidRPr="007E561C">
        <w:rPr>
          <w:lang w:val="en-US"/>
        </w:rPr>
        <w:t xml:space="preserve">. “What has remained constant is the need for guidance, experience, and a deep understanding of logistics processes. The </w:t>
      </w:r>
      <w:r w:rsidRPr="007E561C">
        <w:rPr>
          <w:lang w:val="en-US"/>
        </w:rPr>
        <w:lastRenderedPageBreak/>
        <w:t>combination of strategic perspective and operational expertise has always been the foundation of our work. Many of our customers have been working with us for years, and in some cases for decades. That trust is the greatest validation of what we do and provides the foundation for helping shape future developments together.”</w:t>
      </w:r>
    </w:p>
    <w:p w14:paraId="42218A2B" w14:textId="77777777" w:rsidR="007E561C" w:rsidRPr="007E561C" w:rsidRDefault="007E561C" w:rsidP="001478A6">
      <w:pPr>
        <w:spacing w:line="360" w:lineRule="auto"/>
        <w:rPr>
          <w:lang w:val="en-US"/>
        </w:rPr>
      </w:pPr>
    </w:p>
    <w:p w14:paraId="0E375B29" w14:textId="77777777" w:rsidR="006F1957" w:rsidRPr="007E561C" w:rsidRDefault="006F1957" w:rsidP="001478A6">
      <w:pPr>
        <w:spacing w:line="360" w:lineRule="auto"/>
        <w:rPr>
          <w:b/>
          <w:bCs/>
          <w:lang w:val="en-US"/>
        </w:rPr>
      </w:pPr>
      <w:r w:rsidRPr="007E561C">
        <w:rPr>
          <w:b/>
          <w:bCs/>
          <w:lang w:val="en-US"/>
        </w:rPr>
        <w:t>Stronger Together Across Europe</w:t>
      </w:r>
    </w:p>
    <w:p w14:paraId="2683D151" w14:textId="16F576C5" w:rsidR="006F1957" w:rsidRDefault="006F1957" w:rsidP="001478A6">
      <w:pPr>
        <w:spacing w:line="360" w:lineRule="auto"/>
        <w:rPr>
          <w:lang w:val="en-US"/>
        </w:rPr>
      </w:pPr>
      <w:r w:rsidRPr="007E561C">
        <w:rPr>
          <w:lang w:val="en-US"/>
        </w:rPr>
        <w:t xml:space="preserve">A significant milestone in the company’s recent history was its acquisition by EPG Consulting in 2023. Through this step, </w:t>
      </w:r>
      <w:proofErr w:type="spellStart"/>
      <w:r w:rsidRPr="007E561C">
        <w:rPr>
          <w:lang w:val="en-US"/>
        </w:rPr>
        <w:t>Groenewout</w:t>
      </w:r>
      <w:proofErr w:type="spellEnd"/>
      <w:r w:rsidRPr="007E561C">
        <w:rPr>
          <w:lang w:val="en-US"/>
        </w:rPr>
        <w:t xml:space="preserve"> became part of one of Europe’s leading independent supply chain and logistics consulting organizations. Customers now benefit from a consulting approach that combines </w:t>
      </w:r>
      <w:proofErr w:type="spellStart"/>
      <w:r w:rsidRPr="007E561C">
        <w:rPr>
          <w:lang w:val="en-US"/>
        </w:rPr>
        <w:t>Groenewout’s</w:t>
      </w:r>
      <w:proofErr w:type="spellEnd"/>
      <w:r w:rsidRPr="007E561C">
        <w:rPr>
          <w:lang w:val="en-US"/>
        </w:rPr>
        <w:t xml:space="preserve"> decades of industry expertise with EPG Consulting’s international project management, planning, and implementation capabilities.</w:t>
      </w:r>
      <w:r w:rsidR="007E561C">
        <w:rPr>
          <w:lang w:val="en-US"/>
        </w:rPr>
        <w:t xml:space="preserve"> </w:t>
      </w:r>
      <w:r w:rsidRPr="007E561C">
        <w:rPr>
          <w:lang w:val="en-US"/>
        </w:rPr>
        <w:t>The combined service portfolio ranges from strategic network and site development to automation and digital transformation initiatives, as well as the master planning of complex logistics facilities and the execution of large-scale transformation projects.</w:t>
      </w:r>
      <w:r w:rsidR="007E561C">
        <w:rPr>
          <w:lang w:val="en-US"/>
        </w:rPr>
        <w:t xml:space="preserve"> </w:t>
      </w:r>
      <w:r w:rsidRPr="007E561C">
        <w:rPr>
          <w:lang w:val="en-US"/>
        </w:rPr>
        <w:t xml:space="preserve">“Sixty years of company history are, above all, the result of the trust of our customers and the commitment of the many people who have shaped </w:t>
      </w:r>
      <w:proofErr w:type="spellStart"/>
      <w:r w:rsidRPr="007E561C">
        <w:rPr>
          <w:lang w:val="en-US"/>
        </w:rPr>
        <w:t>Groenewout</w:t>
      </w:r>
      <w:proofErr w:type="spellEnd"/>
      <w:r w:rsidRPr="007E561C">
        <w:rPr>
          <w:lang w:val="en-US"/>
        </w:rPr>
        <w:t xml:space="preserve"> over the decades,” explains Marcel Wilhelms, General Manager of EPG Consulting. “We are extremely proud of that achievement. At the same time, </w:t>
      </w:r>
      <w:proofErr w:type="spellStart"/>
      <w:r w:rsidRPr="007E561C">
        <w:rPr>
          <w:lang w:val="en-US"/>
        </w:rPr>
        <w:t>Groenewout’s</w:t>
      </w:r>
      <w:proofErr w:type="spellEnd"/>
      <w:r w:rsidRPr="007E561C">
        <w:rPr>
          <w:lang w:val="en-US"/>
        </w:rPr>
        <w:t xml:space="preserve"> development demonstrates how important independent consulting has become. Companies are operating under significant pressure to adapt and need partners who can develop strategic concepts while supporting their practical implementation. That is exactly the strength </w:t>
      </w:r>
      <w:proofErr w:type="spellStart"/>
      <w:r w:rsidRPr="007E561C">
        <w:rPr>
          <w:lang w:val="en-US"/>
        </w:rPr>
        <w:t>Groenewout</w:t>
      </w:r>
      <w:proofErr w:type="spellEnd"/>
      <w:r w:rsidRPr="007E561C">
        <w:rPr>
          <w:lang w:val="en-US"/>
        </w:rPr>
        <w:t xml:space="preserve"> and EPG Consulting bring together.”</w:t>
      </w:r>
    </w:p>
    <w:p w14:paraId="74AAD74B" w14:textId="77777777" w:rsidR="007E561C" w:rsidRPr="007E561C" w:rsidRDefault="007E561C" w:rsidP="001478A6">
      <w:pPr>
        <w:spacing w:line="360" w:lineRule="auto"/>
        <w:rPr>
          <w:lang w:val="en-US"/>
        </w:rPr>
      </w:pPr>
    </w:p>
    <w:p w14:paraId="2A01E7CB" w14:textId="77777777" w:rsidR="006F1957" w:rsidRPr="007E561C" w:rsidRDefault="006F1957" w:rsidP="001478A6">
      <w:pPr>
        <w:spacing w:line="360" w:lineRule="auto"/>
        <w:rPr>
          <w:b/>
          <w:bCs/>
          <w:lang w:val="en-US"/>
        </w:rPr>
      </w:pPr>
      <w:r w:rsidRPr="007E561C">
        <w:rPr>
          <w:b/>
          <w:bCs/>
          <w:lang w:val="en-US"/>
        </w:rPr>
        <w:t>Actively Shaping the Future of Logistics</w:t>
      </w:r>
    </w:p>
    <w:p w14:paraId="20F209E0" w14:textId="262D5F1D" w:rsidR="006F1957" w:rsidRPr="007E561C" w:rsidRDefault="006F1957" w:rsidP="001478A6">
      <w:pPr>
        <w:spacing w:line="360" w:lineRule="auto"/>
        <w:rPr>
          <w:lang w:val="en-US"/>
        </w:rPr>
      </w:pPr>
      <w:r w:rsidRPr="007E561C">
        <w:rPr>
          <w:lang w:val="en-US"/>
        </w:rPr>
        <w:t>While companies only a few years ago were primarily focused on efficiency and cost reduction, discussions today increasingly center on resilience, adaptability, and long-term competitiveness. Automation, digitalization, and artificial intelligence are creating new opportunities, while simultaneously reshaping the requirements placed on networks, facilities, and operational processes.</w:t>
      </w:r>
      <w:r w:rsidR="007E561C">
        <w:rPr>
          <w:lang w:val="en-US"/>
        </w:rPr>
        <w:t xml:space="preserve"> </w:t>
      </w:r>
      <w:r w:rsidRPr="007E561C">
        <w:rPr>
          <w:lang w:val="en-US"/>
        </w:rPr>
        <w:t xml:space="preserve">Together with EPG Consulting, </w:t>
      </w:r>
      <w:proofErr w:type="spellStart"/>
      <w:r w:rsidRPr="007E561C">
        <w:rPr>
          <w:lang w:val="en-US"/>
        </w:rPr>
        <w:t>Groenewout</w:t>
      </w:r>
      <w:proofErr w:type="spellEnd"/>
      <w:r w:rsidRPr="007E561C">
        <w:rPr>
          <w:lang w:val="en-US"/>
        </w:rPr>
        <w:t xml:space="preserve"> will continue supporting organizations in strategically assessing these developments and translating them into sustainable, practical solutions. The anniversary therefore marks not only an important milestone in the company’s history, but also the beginning of its next chapter. After six decades of successful consulting, </w:t>
      </w:r>
      <w:proofErr w:type="spellStart"/>
      <w:r w:rsidRPr="007E561C">
        <w:rPr>
          <w:lang w:val="en-US"/>
        </w:rPr>
        <w:t>Groenewout</w:t>
      </w:r>
      <w:proofErr w:type="spellEnd"/>
      <w:r w:rsidRPr="007E561C">
        <w:rPr>
          <w:lang w:val="en-US"/>
        </w:rPr>
        <w:t xml:space="preserve"> remains firmly focused on the future.</w:t>
      </w:r>
    </w:p>
    <w:p w14:paraId="56B95FF6" w14:textId="77777777" w:rsidR="001E3F9D" w:rsidRDefault="001E3F9D" w:rsidP="006865B9">
      <w:pPr>
        <w:rPr>
          <w:b/>
          <w:bCs/>
          <w:lang w:val="en-US"/>
        </w:rPr>
      </w:pPr>
    </w:p>
    <w:p w14:paraId="74A447C2" w14:textId="08615E69" w:rsidR="005E7CBF" w:rsidRPr="00DA684A" w:rsidRDefault="005E7CBF" w:rsidP="006865B9">
      <w:pPr>
        <w:rPr>
          <w:sz w:val="20"/>
          <w:szCs w:val="20"/>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t xml:space="preserve">           </w:t>
      </w:r>
      <w:r w:rsidR="0042581F">
        <w:rPr>
          <w:sz w:val="20"/>
          <w:szCs w:val="20"/>
          <w:lang w:val="en-US"/>
        </w:rPr>
        <w:t>23</w:t>
      </w:r>
      <w:r w:rsidR="007D4B08">
        <w:rPr>
          <w:sz w:val="20"/>
          <w:szCs w:val="20"/>
          <w:lang w:val="en-US"/>
        </w:rPr>
        <w:t>.06</w:t>
      </w:r>
      <w:r w:rsidR="00630CF1">
        <w:rPr>
          <w:sz w:val="20"/>
          <w:szCs w:val="20"/>
          <w:lang w:val="en-US"/>
        </w:rPr>
        <w:t>.2026</w:t>
      </w:r>
    </w:p>
    <w:p w14:paraId="5D61D2AA" w14:textId="47F8E05D" w:rsidR="005E7CBF" w:rsidRPr="00DA684A" w:rsidRDefault="005E7CBF" w:rsidP="006865B9">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7D4F7B">
        <w:rPr>
          <w:sz w:val="20"/>
          <w:szCs w:val="20"/>
          <w:lang w:val="en-US"/>
        </w:rPr>
        <w:t>4</w:t>
      </w:r>
      <w:r w:rsidR="005266B5">
        <w:rPr>
          <w:sz w:val="20"/>
          <w:szCs w:val="20"/>
          <w:lang w:val="en-US"/>
        </w:rPr>
        <w:t xml:space="preserve">.778 </w:t>
      </w:r>
      <w:r w:rsidRPr="00DA684A">
        <w:rPr>
          <w:sz w:val="20"/>
          <w:szCs w:val="20"/>
          <w:lang w:val="en-US"/>
        </w:rPr>
        <w:t>Characters including spaces</w:t>
      </w:r>
    </w:p>
    <w:p w14:paraId="17DE7232" w14:textId="1E952F8B" w:rsidR="005E7CBF" w:rsidRPr="00B8165D" w:rsidRDefault="005E7CBF" w:rsidP="006865B9">
      <w:pPr>
        <w:ind w:left="1415" w:hanging="1415"/>
        <w:rPr>
          <w:b/>
          <w:bCs/>
          <w:lang w:val="en-US"/>
        </w:rPr>
      </w:pPr>
      <w:r w:rsidRPr="009969A1">
        <w:rPr>
          <w:lang w:val="en-US"/>
        </w:rPr>
        <w:tab/>
      </w:r>
    </w:p>
    <w:p w14:paraId="4BCFA082" w14:textId="3C1FED59" w:rsidR="005E7CBF" w:rsidRPr="00B8165D" w:rsidRDefault="005E7CBF" w:rsidP="006865B9">
      <w:pPr>
        <w:spacing w:after="180" w:line="312" w:lineRule="auto"/>
        <w:rPr>
          <w:b/>
          <w:bCs/>
          <w:sz w:val="20"/>
          <w:szCs w:val="20"/>
          <w:lang w:val="en-US"/>
        </w:rPr>
      </w:pPr>
      <w:r w:rsidRPr="00B8165D">
        <w:rPr>
          <w:b/>
          <w:bCs/>
          <w:sz w:val="20"/>
          <w:szCs w:val="20"/>
          <w:lang w:val="en-US"/>
        </w:rPr>
        <w:t xml:space="preserve">EPG – </w:t>
      </w:r>
      <w:r w:rsidR="00B8165D" w:rsidRPr="00B8165D">
        <w:rPr>
          <w:b/>
          <w:bCs/>
          <w:sz w:val="20"/>
          <w:szCs w:val="20"/>
          <w:lang w:val="en-US"/>
        </w:rPr>
        <w:t>Ehrhardt Partner Group</w:t>
      </w:r>
    </w:p>
    <w:p w14:paraId="5B07B7A0" w14:textId="77777777" w:rsidR="00B8165D" w:rsidRPr="00B8165D" w:rsidRDefault="00B8165D" w:rsidP="00B8165D">
      <w:pPr>
        <w:rPr>
          <w:sz w:val="20"/>
          <w:szCs w:val="20"/>
          <w:lang w:val="en-US"/>
        </w:rPr>
      </w:pPr>
      <w:r w:rsidRPr="00B8165D">
        <w:rPr>
          <w:sz w:val="20"/>
          <w:szCs w:val="20"/>
          <w:lang w:val="en-US"/>
        </w:rPr>
        <w:t>EPG is a leading international provider of a comprehensive Supply Chain Execution Suite (EPG ONE) and employs more than 1,000 people across 23 locations worldwide. More than 1,600 customers use EPG solutions to optimize their logistics operations in manual, semi-automated, and highly automated environments, including airport ground handling and cargo operations. The portfolio includes a Warehouse Management System (WMS), Warehouse Control System (WCS), Workforce Management (WFM), Transportation Management System (TMS), multi-carrier shipping software, voice-directed workflows (LYDIA Voice), and specialized software solutions for the aviation industry.</w:t>
      </w:r>
    </w:p>
    <w:p w14:paraId="521C5FE6" w14:textId="77777777" w:rsidR="00B8165D" w:rsidRDefault="00B8165D" w:rsidP="00B8165D">
      <w:pPr>
        <w:rPr>
          <w:sz w:val="20"/>
          <w:szCs w:val="20"/>
          <w:lang w:val="en-US"/>
        </w:rPr>
      </w:pPr>
      <w:r w:rsidRPr="00B8165D">
        <w:rPr>
          <w:sz w:val="20"/>
          <w:szCs w:val="20"/>
          <w:lang w:val="en-US"/>
        </w:rPr>
        <w:t>Complementing the EPG ONE Suite, EPG AURA provides an AI-native environment featuring modular AI services and functionalities, including AURA Agents and Capabilities, designed to intelligently enhance operational supply chain execution. AURA can be deployed alongside the EPG ONE Suite or operate independently with third-party systems such as ERP platforms, warehouse software, automation solutions, and other enterprise applications. AURA connects and synchronizes data, events, and processes across warehousing, transportation, and production environments, supporting and orchestrating logistics operations in real time. Based on this foundation, decisions can be prepared, supported, or executed fully autonomously. Consulting services, cloud and managed services, and the EPG Academy further expand the portfolio with comprehensive offerings for the planning, operation, and continuous optimization of modern logistics environments.</w:t>
      </w:r>
    </w:p>
    <w:p w14:paraId="65DBA3FA" w14:textId="77777777" w:rsidR="00B8165D" w:rsidRPr="00B8165D" w:rsidRDefault="00B8165D" w:rsidP="00B8165D">
      <w:pPr>
        <w:rPr>
          <w:sz w:val="20"/>
          <w:szCs w:val="20"/>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8B4137" w:rsidRDefault="005E7CBF" w:rsidP="006865B9">
      <w:pPr>
        <w:spacing w:line="360" w:lineRule="auto"/>
        <w:rPr>
          <w:kern w:val="24"/>
          <w:sz w:val="20"/>
          <w:szCs w:val="20"/>
          <w:lang w:val="de-DE"/>
        </w:rPr>
      </w:pPr>
      <w:r w:rsidRPr="008B4137">
        <w:rPr>
          <w:kern w:val="24"/>
          <w:sz w:val="20"/>
          <w:szCs w:val="20"/>
          <w:lang w:val="de-DE"/>
        </w:rPr>
        <w:t>Tel.: (+49) 67 42-87 27 0 • Fax: (+49) 67 42-87 27 50</w:t>
      </w:r>
    </w:p>
    <w:p w14:paraId="05F5BC9D" w14:textId="77777777" w:rsidR="005E7CBF" w:rsidRPr="00DA684A" w:rsidRDefault="005E7CBF" w:rsidP="006865B9">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w:t>
      </w:r>
      <w:proofErr w:type="gramStart"/>
      <w:r w:rsidRPr="00DA684A">
        <w:rPr>
          <w:kern w:val="24"/>
          <w:sz w:val="20"/>
          <w:szCs w:val="20"/>
          <w:lang w:val="fr-FR"/>
        </w:rPr>
        <w:t>Internet:</w:t>
      </w:r>
      <w:proofErr w:type="gramEnd"/>
      <w:r w:rsidRPr="00DA684A">
        <w:rPr>
          <w:kern w:val="24"/>
          <w:sz w:val="20"/>
          <w:szCs w:val="20"/>
          <w:lang w:val="fr-FR"/>
        </w:rPr>
        <w:t xml:space="preserve">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06865B9">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6222CA6A" w:rsidR="005E7CBF" w:rsidRPr="00581DC4" w:rsidRDefault="00F05B73" w:rsidP="006865B9">
      <w:pPr>
        <w:spacing w:line="360" w:lineRule="auto"/>
        <w:rPr>
          <w:kern w:val="24"/>
          <w:sz w:val="20"/>
          <w:szCs w:val="20"/>
          <w:lang w:val="de-DE"/>
        </w:rPr>
      </w:pPr>
      <w:r>
        <w:rPr>
          <w:kern w:val="24"/>
          <w:sz w:val="20"/>
          <w:szCs w:val="20"/>
          <w:lang w:val="de-DE"/>
        </w:rPr>
        <w:t>Rebecca Schlag</w:t>
      </w:r>
      <w:r w:rsidR="005E7CBF" w:rsidRPr="00581DC4">
        <w:rPr>
          <w:kern w:val="24"/>
          <w:sz w:val="20"/>
          <w:szCs w:val="20"/>
          <w:lang w:val="de-DE"/>
        </w:rPr>
        <w:t xml:space="preserve"> • BFOUND GmbH</w:t>
      </w:r>
    </w:p>
    <w:p w14:paraId="6D932F41" w14:textId="77777777" w:rsidR="005E7CBF" w:rsidRPr="001002D2" w:rsidRDefault="005E7CBF" w:rsidP="006865B9">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39FCEE6C" w14:textId="3E7CB875" w:rsidR="00EF63AF" w:rsidRPr="00DC1B31" w:rsidRDefault="005E7CBF" w:rsidP="006865B9">
      <w:pPr>
        <w:pStyle w:val="BoilerPlate"/>
        <w:jc w:val="both"/>
        <w:rPr>
          <w:lang w:val="de-DE"/>
        </w:rPr>
      </w:pPr>
      <w:r w:rsidRPr="009D396C">
        <w:rPr>
          <w:kern w:val="24"/>
          <w:lang w:val="de-DE"/>
        </w:rPr>
        <w:t xml:space="preserve">E-Mail: </w:t>
      </w:r>
      <w:r w:rsidR="00F05B73">
        <w:rPr>
          <w:kern w:val="24"/>
          <w:lang w:val="de-DE"/>
        </w:rPr>
        <w:t>rebecca.schlag</w:t>
      </w:r>
      <w:r w:rsidRPr="009D396C">
        <w:rPr>
          <w:kern w:val="24"/>
          <w:lang w:val="de-DE"/>
        </w:rPr>
        <w:t>@bfound.com • Internet: www.bfound.com</w:t>
      </w:r>
    </w:p>
    <w:sectPr w:rsidR="00EF63AF" w:rsidRPr="00DC1B31" w:rsidSect="005F13E6">
      <w:headerReference w:type="default" r:id="rId10"/>
      <w:footerReference w:type="default" r:id="rId11"/>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74C36" w14:textId="77777777" w:rsidR="00BE3B4F" w:rsidRDefault="00BE3B4F" w:rsidP="008205FF">
      <w:r>
        <w:separator/>
      </w:r>
    </w:p>
  </w:endnote>
  <w:endnote w:type="continuationSeparator" w:id="0">
    <w:p w14:paraId="5F4BA4E0" w14:textId="77777777" w:rsidR="00BE3B4F" w:rsidRDefault="00BE3B4F" w:rsidP="008205FF">
      <w:r>
        <w:continuationSeparator/>
      </w:r>
    </w:p>
  </w:endnote>
  <w:endnote w:type="continuationNotice" w:id="1">
    <w:p w14:paraId="68598F79" w14:textId="77777777" w:rsidR="00BE3B4F" w:rsidRDefault="00BE3B4F"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0288A" w14:textId="77777777" w:rsidR="00BE3B4F" w:rsidRDefault="00BE3B4F" w:rsidP="008205FF">
      <w:r>
        <w:separator/>
      </w:r>
    </w:p>
  </w:footnote>
  <w:footnote w:type="continuationSeparator" w:id="0">
    <w:p w14:paraId="2A04FDAF" w14:textId="77777777" w:rsidR="00BE3B4F" w:rsidRDefault="00BE3B4F" w:rsidP="008205FF">
      <w:r>
        <w:continuationSeparator/>
      </w:r>
    </w:p>
  </w:footnote>
  <w:footnote w:type="continuationNotice" w:id="1">
    <w:p w14:paraId="308A3195" w14:textId="77777777" w:rsidR="00BE3B4F" w:rsidRDefault="00BE3B4F"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54803C44" w:rsidR="002A4179" w:rsidRPr="004C073B" w:rsidRDefault="00363F4B" w:rsidP="004C073B">
    <w:pPr>
      <w:pStyle w:val="Kopfzeile"/>
      <w:tabs>
        <w:tab w:val="clear" w:pos="9072"/>
        <w:tab w:val="right" w:pos="10065"/>
      </w:tabs>
      <w:spacing w:before="240"/>
      <w:rPr>
        <w:rFonts w:ascii="Arial" w:hAnsi="Arial"/>
        <w:b/>
        <w:color w:val="7F7F7F" w:themeColor="text1" w:themeTint="80"/>
        <w:sz w:val="40"/>
      </w:rPr>
    </w:pPr>
    <w:r>
      <w:rPr>
        <w:noProof/>
      </w:rPr>
      <w:drawing>
        <wp:anchor distT="0" distB="0" distL="114300" distR="114300" simplePos="0" relativeHeight="251659264" behindDoc="1" locked="0" layoutInCell="1" allowOverlap="1" wp14:anchorId="5694EEBE" wp14:editId="062CF8F6">
          <wp:simplePos x="0" y="0"/>
          <wp:positionH relativeFrom="column">
            <wp:posOffset>3924300</wp:posOffset>
          </wp:positionH>
          <wp:positionV relativeFrom="paragraph">
            <wp:posOffset>-76835</wp:posOffset>
          </wp:positionV>
          <wp:extent cx="1816735" cy="628650"/>
          <wp:effectExtent l="0" t="0" r="0" b="0"/>
          <wp:wrapTight wrapText="bothSides">
            <wp:wrapPolygon edited="0">
              <wp:start x="0" y="1964"/>
              <wp:lineTo x="0" y="17673"/>
              <wp:lineTo x="18120" y="18982"/>
              <wp:lineTo x="19252" y="18982"/>
              <wp:lineTo x="19931" y="15055"/>
              <wp:lineTo x="19252" y="13745"/>
              <wp:lineTo x="21290" y="9164"/>
              <wp:lineTo x="21290" y="1964"/>
              <wp:lineTo x="0" y="1964"/>
            </wp:wrapPolygon>
          </wp:wrapTight>
          <wp:docPr id="1265516664" name="Grafik 1">
            <a:extLst xmlns:a="http://schemas.openxmlformats.org/drawingml/2006/main">
              <a:ext uri="{FF2B5EF4-FFF2-40B4-BE49-F238E27FC236}">
                <a16:creationId xmlns:a16="http://schemas.microsoft.com/office/drawing/2014/main" id="{2693A038-F320-4BC9-A06A-EBC19CA670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16664" name="Grafik 1265516664"/>
                  <pic:cNvPicPr/>
                </pic:nvPicPr>
                <pic:blipFill>
                  <a:blip r:embed="rId1">
                    <a:extLst>
                      <a:ext uri="{28A0092B-C50C-407E-A947-70E740481C1C}">
                        <a14:useLocalDpi xmlns:a14="http://schemas.microsoft.com/office/drawing/2010/main" val="0"/>
                      </a:ext>
                    </a:extLst>
                  </a:blip>
                  <a:stretch>
                    <a:fillRect/>
                  </a:stretch>
                </pic:blipFill>
                <pic:spPr>
                  <a:xfrm>
                    <a:off x="0" y="0"/>
                    <a:ext cx="1816735" cy="628650"/>
                  </a:xfrm>
                  <a:prstGeom prst="rect">
                    <a:avLst/>
                  </a:prstGeom>
                </pic:spPr>
              </pic:pic>
            </a:graphicData>
          </a:graphic>
          <wp14:sizeRelH relativeFrom="margin">
            <wp14:pctWidth>0</wp14:pctWidth>
          </wp14:sizeRelH>
          <wp14:sizeRelV relativeFrom="margin">
            <wp14:pctHeight>0</wp14:pctHeight>
          </wp14:sizeRelV>
        </wp:anchor>
      </w:drawing>
    </w:r>
    <w:r w:rsidR="004C073B">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48800010">
    <w:abstractNumId w:val="12"/>
  </w:num>
  <w:num w:numId="2" w16cid:durableId="1357852845">
    <w:abstractNumId w:val="5"/>
  </w:num>
  <w:num w:numId="3" w16cid:durableId="1481918033">
    <w:abstractNumId w:val="9"/>
  </w:num>
  <w:num w:numId="4" w16cid:durableId="1511800642">
    <w:abstractNumId w:val="4"/>
  </w:num>
  <w:num w:numId="5" w16cid:durableId="1628774530">
    <w:abstractNumId w:val="6"/>
  </w:num>
  <w:num w:numId="6" w16cid:durableId="1683162843">
    <w:abstractNumId w:val="2"/>
  </w:num>
  <w:num w:numId="7" w16cid:durableId="1727995873">
    <w:abstractNumId w:val="13"/>
  </w:num>
  <w:num w:numId="8" w16cid:durableId="1783719382">
    <w:abstractNumId w:val="3"/>
  </w:num>
  <w:num w:numId="9" w16cid:durableId="1794057238">
    <w:abstractNumId w:val="18"/>
  </w:num>
  <w:num w:numId="10" w16cid:durableId="1856185305">
    <w:abstractNumId w:val="10"/>
  </w:num>
  <w:num w:numId="11" w16cid:durableId="195166517">
    <w:abstractNumId w:val="1"/>
  </w:num>
  <w:num w:numId="12" w16cid:durableId="400519027">
    <w:abstractNumId w:val="17"/>
  </w:num>
  <w:num w:numId="13" w16cid:durableId="472333887">
    <w:abstractNumId w:val="19"/>
  </w:num>
  <w:num w:numId="14" w16cid:durableId="635724795">
    <w:abstractNumId w:val="15"/>
  </w:num>
  <w:num w:numId="15" w16cid:durableId="691996347">
    <w:abstractNumId w:val="20"/>
  </w:num>
  <w:num w:numId="16" w16cid:durableId="764346953">
    <w:abstractNumId w:val="8"/>
  </w:num>
  <w:num w:numId="17" w16cid:durableId="84228750">
    <w:abstractNumId w:val="16"/>
  </w:num>
  <w:num w:numId="18" w16cid:durableId="847988943">
    <w:abstractNumId w:val="7"/>
  </w:num>
  <w:num w:numId="19" w16cid:durableId="886379831">
    <w:abstractNumId w:val="0"/>
  </w:num>
  <w:num w:numId="20" w16cid:durableId="89356448">
    <w:abstractNumId w:val="11"/>
  </w:num>
  <w:num w:numId="21" w16cid:durableId="8989020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2A"/>
    <w:rsid w:val="00051C91"/>
    <w:rsid w:val="000562B9"/>
    <w:rsid w:val="00063480"/>
    <w:rsid w:val="0006571B"/>
    <w:rsid w:val="0006657E"/>
    <w:rsid w:val="00066F6E"/>
    <w:rsid w:val="0007099F"/>
    <w:rsid w:val="00070ED3"/>
    <w:rsid w:val="00071202"/>
    <w:rsid w:val="0007245A"/>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966"/>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8A6"/>
    <w:rsid w:val="00147EF9"/>
    <w:rsid w:val="00151582"/>
    <w:rsid w:val="001517AA"/>
    <w:rsid w:val="00151C79"/>
    <w:rsid w:val="001528E7"/>
    <w:rsid w:val="00153082"/>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3F9D"/>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3384"/>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3CED"/>
    <w:rsid w:val="00354F63"/>
    <w:rsid w:val="003560A4"/>
    <w:rsid w:val="00356D03"/>
    <w:rsid w:val="0036058A"/>
    <w:rsid w:val="003608F5"/>
    <w:rsid w:val="0036121A"/>
    <w:rsid w:val="003612D5"/>
    <w:rsid w:val="003614A4"/>
    <w:rsid w:val="00361EBC"/>
    <w:rsid w:val="00362658"/>
    <w:rsid w:val="00362F98"/>
    <w:rsid w:val="00363F4B"/>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2E47"/>
    <w:rsid w:val="003949B5"/>
    <w:rsid w:val="00396CF1"/>
    <w:rsid w:val="0039701B"/>
    <w:rsid w:val="003978AA"/>
    <w:rsid w:val="00397949"/>
    <w:rsid w:val="00397CE3"/>
    <w:rsid w:val="00397D33"/>
    <w:rsid w:val="003A36AE"/>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581F"/>
    <w:rsid w:val="00426822"/>
    <w:rsid w:val="00427456"/>
    <w:rsid w:val="00427DB5"/>
    <w:rsid w:val="00427F83"/>
    <w:rsid w:val="00431283"/>
    <w:rsid w:val="0043175E"/>
    <w:rsid w:val="0043377E"/>
    <w:rsid w:val="00434B3C"/>
    <w:rsid w:val="004352B4"/>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4C86"/>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21C4"/>
    <w:rsid w:val="0051336C"/>
    <w:rsid w:val="005145AA"/>
    <w:rsid w:val="005158BC"/>
    <w:rsid w:val="00515A6B"/>
    <w:rsid w:val="00517E83"/>
    <w:rsid w:val="00522D62"/>
    <w:rsid w:val="00523014"/>
    <w:rsid w:val="00523086"/>
    <w:rsid w:val="00524FA8"/>
    <w:rsid w:val="005266B5"/>
    <w:rsid w:val="00526EF7"/>
    <w:rsid w:val="00527575"/>
    <w:rsid w:val="00530468"/>
    <w:rsid w:val="00531C57"/>
    <w:rsid w:val="00532401"/>
    <w:rsid w:val="0053618A"/>
    <w:rsid w:val="0053762E"/>
    <w:rsid w:val="005407AA"/>
    <w:rsid w:val="0054091E"/>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87608"/>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CF1"/>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075D"/>
    <w:rsid w:val="006E10DB"/>
    <w:rsid w:val="006E122B"/>
    <w:rsid w:val="006E320F"/>
    <w:rsid w:val="006E5BD3"/>
    <w:rsid w:val="006F0A13"/>
    <w:rsid w:val="006F0A88"/>
    <w:rsid w:val="006F1957"/>
    <w:rsid w:val="006F27F6"/>
    <w:rsid w:val="006F31F8"/>
    <w:rsid w:val="006F41C6"/>
    <w:rsid w:val="006F4804"/>
    <w:rsid w:val="00702A17"/>
    <w:rsid w:val="007041A3"/>
    <w:rsid w:val="007042BD"/>
    <w:rsid w:val="00704A5C"/>
    <w:rsid w:val="00707113"/>
    <w:rsid w:val="00711E3E"/>
    <w:rsid w:val="0071372C"/>
    <w:rsid w:val="007139FA"/>
    <w:rsid w:val="00714FC2"/>
    <w:rsid w:val="0071582E"/>
    <w:rsid w:val="00715D03"/>
    <w:rsid w:val="0071673A"/>
    <w:rsid w:val="00716BAD"/>
    <w:rsid w:val="00721CB0"/>
    <w:rsid w:val="00722C0F"/>
    <w:rsid w:val="00726365"/>
    <w:rsid w:val="007275E0"/>
    <w:rsid w:val="00727887"/>
    <w:rsid w:val="00727E7F"/>
    <w:rsid w:val="00734BCB"/>
    <w:rsid w:val="0073529F"/>
    <w:rsid w:val="0073621E"/>
    <w:rsid w:val="0073786F"/>
    <w:rsid w:val="00740063"/>
    <w:rsid w:val="00741180"/>
    <w:rsid w:val="00743055"/>
    <w:rsid w:val="0074306A"/>
    <w:rsid w:val="00743605"/>
    <w:rsid w:val="007473E4"/>
    <w:rsid w:val="007506C0"/>
    <w:rsid w:val="00750CE8"/>
    <w:rsid w:val="007515D0"/>
    <w:rsid w:val="00752365"/>
    <w:rsid w:val="0075326F"/>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2358"/>
    <w:rsid w:val="00773D13"/>
    <w:rsid w:val="007752F2"/>
    <w:rsid w:val="00776298"/>
    <w:rsid w:val="00777B62"/>
    <w:rsid w:val="0078013E"/>
    <w:rsid w:val="00780340"/>
    <w:rsid w:val="007806FA"/>
    <w:rsid w:val="00780B72"/>
    <w:rsid w:val="0078114B"/>
    <w:rsid w:val="00790AA6"/>
    <w:rsid w:val="007928FD"/>
    <w:rsid w:val="00793654"/>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2A91"/>
    <w:rsid w:val="007C55BB"/>
    <w:rsid w:val="007C75A5"/>
    <w:rsid w:val="007D05E4"/>
    <w:rsid w:val="007D2EF3"/>
    <w:rsid w:val="007D4B08"/>
    <w:rsid w:val="007D4B22"/>
    <w:rsid w:val="007D4CBE"/>
    <w:rsid w:val="007D4F7B"/>
    <w:rsid w:val="007D50D4"/>
    <w:rsid w:val="007D5280"/>
    <w:rsid w:val="007D5CC8"/>
    <w:rsid w:val="007D7499"/>
    <w:rsid w:val="007D7515"/>
    <w:rsid w:val="007E0A69"/>
    <w:rsid w:val="007E0B69"/>
    <w:rsid w:val="007E33C9"/>
    <w:rsid w:val="007E48F9"/>
    <w:rsid w:val="007E4CE5"/>
    <w:rsid w:val="007E4D2A"/>
    <w:rsid w:val="007E544B"/>
    <w:rsid w:val="007E561C"/>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45F"/>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8BF"/>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0C95"/>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4137"/>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62D"/>
    <w:rsid w:val="008F7AE2"/>
    <w:rsid w:val="009003FB"/>
    <w:rsid w:val="00900532"/>
    <w:rsid w:val="00900880"/>
    <w:rsid w:val="0090157F"/>
    <w:rsid w:val="009025F3"/>
    <w:rsid w:val="00902CDE"/>
    <w:rsid w:val="0090373E"/>
    <w:rsid w:val="00903FE6"/>
    <w:rsid w:val="00904942"/>
    <w:rsid w:val="00904AA8"/>
    <w:rsid w:val="009059A2"/>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4E2E"/>
    <w:rsid w:val="00966BAE"/>
    <w:rsid w:val="00967ED4"/>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3C7F"/>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610"/>
    <w:rsid w:val="00B65E71"/>
    <w:rsid w:val="00B672A1"/>
    <w:rsid w:val="00B679F2"/>
    <w:rsid w:val="00B67A1B"/>
    <w:rsid w:val="00B70131"/>
    <w:rsid w:val="00B7080B"/>
    <w:rsid w:val="00B71806"/>
    <w:rsid w:val="00B760DF"/>
    <w:rsid w:val="00B763C0"/>
    <w:rsid w:val="00B805B0"/>
    <w:rsid w:val="00B8165D"/>
    <w:rsid w:val="00B81B1D"/>
    <w:rsid w:val="00B8464D"/>
    <w:rsid w:val="00B85640"/>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1E37"/>
    <w:rsid w:val="00BD38A2"/>
    <w:rsid w:val="00BD3C9B"/>
    <w:rsid w:val="00BD4099"/>
    <w:rsid w:val="00BD41DE"/>
    <w:rsid w:val="00BD461F"/>
    <w:rsid w:val="00BD5382"/>
    <w:rsid w:val="00BE06FE"/>
    <w:rsid w:val="00BE3B4F"/>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200"/>
    <w:rsid w:val="00C07F19"/>
    <w:rsid w:val="00C101BE"/>
    <w:rsid w:val="00C1117B"/>
    <w:rsid w:val="00C12ECC"/>
    <w:rsid w:val="00C13D0F"/>
    <w:rsid w:val="00C13EE4"/>
    <w:rsid w:val="00C21206"/>
    <w:rsid w:val="00C22375"/>
    <w:rsid w:val="00C225A4"/>
    <w:rsid w:val="00C22604"/>
    <w:rsid w:val="00C22A05"/>
    <w:rsid w:val="00C23194"/>
    <w:rsid w:val="00C25611"/>
    <w:rsid w:val="00C25F77"/>
    <w:rsid w:val="00C25F89"/>
    <w:rsid w:val="00C2637B"/>
    <w:rsid w:val="00C26490"/>
    <w:rsid w:val="00C267C4"/>
    <w:rsid w:val="00C3101D"/>
    <w:rsid w:val="00C31EAD"/>
    <w:rsid w:val="00C3273E"/>
    <w:rsid w:val="00C34921"/>
    <w:rsid w:val="00C34928"/>
    <w:rsid w:val="00C34D29"/>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691"/>
    <w:rsid w:val="00C97994"/>
    <w:rsid w:val="00C97EA0"/>
    <w:rsid w:val="00CA0B2A"/>
    <w:rsid w:val="00CA22B9"/>
    <w:rsid w:val="00CA5F9A"/>
    <w:rsid w:val="00CB08D8"/>
    <w:rsid w:val="00CB0B83"/>
    <w:rsid w:val="00CB21C2"/>
    <w:rsid w:val="00CB4130"/>
    <w:rsid w:val="00CB44D1"/>
    <w:rsid w:val="00CB5922"/>
    <w:rsid w:val="00CB638F"/>
    <w:rsid w:val="00CB6EAC"/>
    <w:rsid w:val="00CC1518"/>
    <w:rsid w:val="00CC2C30"/>
    <w:rsid w:val="00CC2CDB"/>
    <w:rsid w:val="00CC4F14"/>
    <w:rsid w:val="00CC5A24"/>
    <w:rsid w:val="00CC5B0A"/>
    <w:rsid w:val="00CC7417"/>
    <w:rsid w:val="00CC7B2A"/>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6D2B"/>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3754"/>
    <w:rsid w:val="00E641C0"/>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5B73"/>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0CB"/>
    <w:rsid w:val="00FC7D91"/>
    <w:rsid w:val="00FD02E9"/>
    <w:rsid w:val="00FD1857"/>
    <w:rsid w:val="00FD2955"/>
    <w:rsid w:val="00FD32D3"/>
    <w:rsid w:val="00FD4546"/>
    <w:rsid w:val="00FD5A51"/>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03868393"/>
    <w:rsid w:val="08291FEC"/>
    <w:rsid w:val="1051D7CE"/>
    <w:rsid w:val="4DD6AF3C"/>
    <w:rsid w:val="53BC9980"/>
    <w:rsid w:val="545DBBB3"/>
    <w:rsid w:val="566329E9"/>
    <w:rsid w:val="5A00913D"/>
    <w:rsid w:val="66BC6DE9"/>
    <w:rsid w:val="6F1E396D"/>
    <w:rsid w:val="73F401B9"/>
    <w:rsid w:val="74214C6F"/>
    <w:rsid w:val="7ADC3C27"/>
    <w:rsid w:val="7C1070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CA33"/>
  <w15:chartTrackingRefBased/>
  <w15:docId w15:val="{305A4EA9-FE4D-4857-9885-1DCD47B1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10"/>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10"/>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10"/>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10"/>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10"/>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10"/>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customStyle="1" w:styleId="CommentReference">
    <w:name w:val="Comment Reference"/>
    <w:uiPriority w:val="99"/>
    <w:semiHidden/>
    <w:unhideWhenUsed/>
    <w:rsid w:val="00FF1DFF"/>
    <w:rPr>
      <w:sz w:val="16"/>
      <w:szCs w:val="16"/>
    </w:rPr>
  </w:style>
  <w:style w:type="paragraph" w:customStyle="1" w:styleId="CommentText">
    <w:name w:val="Comment Text"/>
    <w:basedOn w:val="Standard"/>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customStyle="1" w:styleId="CommentSubject">
    <w:name w:val="Comment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bc8fa06-adf2-4ff1-93ca-14722ba6a11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370C1C3860E342A1E8806A29CE08BA" ma:contentTypeVersion="" ma:contentTypeDescription="Create a new document." ma:contentTypeScope="" ma:versionID="7d0090e65eec6f0089c803c041c7be1c">
  <xsd:schema xmlns:xsd="http://www.w3.org/2001/XMLSchema" xmlns:xs="http://www.w3.org/2001/XMLSchema" xmlns:p="http://schemas.microsoft.com/office/2006/metadata/properties" xmlns:ns2="4783a32a-f1c2-464e-9d86-52b6d0d47efa" xmlns:ns3="fbc8fa06-adf2-4ff1-93ca-14722ba6a113" xmlns:ns4="bf2fcf71-2ab9-4dcb-aafb-8f36f3e4edfa" targetNamespace="http://schemas.microsoft.com/office/2006/metadata/properties" ma:root="true" ma:fieldsID="70b23056d5c8cd1b716e3fd3f032023a" ns2:_="" ns3:_="" ns4:_="">
    <xsd:import namespace="4783a32a-f1c2-464e-9d86-52b6d0d47efa"/>
    <xsd:import namespace="fbc8fa06-adf2-4ff1-93ca-14722ba6a11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4:TaxCatchAll"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c8fa06-adf2-4ff1-93ca-14722ba6a1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bc8fa06-adf2-4ff1-93ca-14722ba6a113"/>
  </ds:schemaRefs>
</ds:datastoreItem>
</file>

<file path=customXml/itemProps3.xml><?xml version="1.0" encoding="utf-8"?>
<ds:datastoreItem xmlns:ds="http://schemas.openxmlformats.org/officeDocument/2006/customXml" ds:itemID="{19515539-4679-49F5-A265-DCE86B042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fbc8fa06-adf2-4ff1-93ca-14722ba6a11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959</Words>
  <Characters>6048</Characters>
  <Application>Microsoft Office Word</Application>
  <DocSecurity>0</DocSecurity>
  <Lines>50</Lines>
  <Paragraphs>13</Paragraphs>
  <ScaleCrop>false</ScaleCrop>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Schlag, Rebecca</cp:lastModifiedBy>
  <cp:revision>103</cp:revision>
  <cp:lastPrinted>2025-03-31T15:24:00Z</cp:lastPrinted>
  <dcterms:created xsi:type="dcterms:W3CDTF">2025-05-20T22:20:00Z</dcterms:created>
  <dcterms:modified xsi:type="dcterms:W3CDTF">2026-06-25T08:04:00Z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0x0101008E370C1C3860E342A1E8806A29CE08BA</vt:lpwstr>
  </property>
</Properties>
</file>