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3934" w:rsidR="22BA37E1" w:rsidP="4D1236D9" w:rsidRDefault="22BA37E1" w14:paraId="33C0DAB9" w14:textId="496C5A7B">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off" w:after="0" w:afterAutospacing="off"/>
        <w:jc w:val="center"/>
        <w:rPr>
          <w:b w:val="1"/>
          <w:bCs w:val="1"/>
          <w:color w:val="000000" w:themeColor="text1"/>
          <w:lang w:val="en-US"/>
        </w:rPr>
      </w:pPr>
    </w:p>
    <w:p w:rsidRPr="00143934" w:rsidR="003C5E77" w:rsidP="4D1236D9" w:rsidRDefault="003C5E77" w14:paraId="706B1900" w14:textId="1A80BBDF">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off" w:after="0" w:afterAutospacing="off" w:line="360" w:lineRule="auto"/>
        <w:jc w:val="center"/>
      </w:pPr>
      <w:r w:rsidRPr="4D1236D9" w:rsidR="00D776D8">
        <w:rPr>
          <w:rFonts w:eastAsia="Calibri"/>
          <w:b w:val="1"/>
          <w:bCs w:val="1"/>
          <w:color w:val="0D0D0D" w:themeColor="text1" w:themeTint="F2" w:themeShade="FF"/>
          <w:sz w:val="32"/>
          <w:szCs w:val="32"/>
          <w:lang w:val="en-US"/>
        </w:rPr>
        <w:t xml:space="preserve">EPG Recognized as </w:t>
      </w:r>
      <w:r w:rsidRPr="4D1236D9" w:rsidR="00872915">
        <w:rPr>
          <w:rFonts w:eastAsia="Calibri"/>
          <w:b w:val="1"/>
          <w:bCs w:val="1"/>
          <w:color w:val="0D0D0D" w:themeColor="text1" w:themeTint="F2" w:themeShade="FF"/>
          <w:sz w:val="32"/>
          <w:szCs w:val="32"/>
          <w:lang w:val="en-US"/>
        </w:rPr>
        <w:t xml:space="preserve">a </w:t>
      </w:r>
      <w:r w:rsidRPr="4D1236D9" w:rsidR="00D776D8">
        <w:rPr>
          <w:rFonts w:eastAsia="Calibri"/>
          <w:b w:val="1"/>
          <w:bCs w:val="1"/>
          <w:color w:val="0D0D0D" w:themeColor="text1" w:themeTint="F2" w:themeShade="FF"/>
          <w:sz w:val="32"/>
          <w:szCs w:val="32"/>
          <w:lang w:val="en-US"/>
        </w:rPr>
        <w:t xml:space="preserve">Challenger in </w:t>
      </w:r>
      <w:r w:rsidRPr="4D1236D9" w:rsidR="00705E14">
        <w:rPr>
          <w:rFonts w:eastAsia="Calibri"/>
          <w:b w:val="1"/>
          <w:bCs w:val="1"/>
          <w:color w:val="0D0D0D" w:themeColor="text1" w:themeTint="F2" w:themeShade="FF"/>
          <w:sz w:val="32"/>
          <w:szCs w:val="32"/>
          <w:lang w:val="en-US"/>
        </w:rPr>
        <w:t>202</w:t>
      </w:r>
      <w:r w:rsidRPr="4D1236D9" w:rsidR="00877765">
        <w:rPr>
          <w:rFonts w:eastAsia="Calibri"/>
          <w:b w:val="1"/>
          <w:bCs w:val="1"/>
          <w:color w:val="0D0D0D" w:themeColor="text1" w:themeTint="F2" w:themeShade="FF"/>
          <w:sz w:val="32"/>
          <w:szCs w:val="32"/>
          <w:lang w:val="en-US"/>
        </w:rPr>
        <w:t>6</w:t>
      </w:r>
      <w:r w:rsidRPr="4D1236D9" w:rsidR="00705E14">
        <w:rPr>
          <w:rFonts w:eastAsia="Calibri"/>
          <w:b w:val="1"/>
          <w:bCs w:val="1"/>
          <w:color w:val="0D0D0D" w:themeColor="text1" w:themeTint="F2" w:themeShade="FF"/>
          <w:sz w:val="32"/>
          <w:szCs w:val="32"/>
          <w:lang w:val="en-US"/>
        </w:rPr>
        <w:t xml:space="preserve"> </w:t>
      </w:r>
      <w:r w:rsidRPr="4D1236D9" w:rsidR="00D776D8">
        <w:rPr>
          <w:rFonts w:eastAsia="Calibri"/>
          <w:b w:val="1"/>
          <w:bCs w:val="1"/>
          <w:color w:val="0D0D0D" w:themeColor="text1" w:themeTint="F2" w:themeShade="FF"/>
          <w:sz w:val="32"/>
          <w:szCs w:val="32"/>
          <w:lang w:val="en-US"/>
        </w:rPr>
        <w:t>Gartner® Magic Quadrant™ for WMS</w:t>
      </w:r>
    </w:p>
    <w:p w:rsidRPr="00143934" w:rsidR="003C5E77" w:rsidP="4D1236D9" w:rsidRDefault="003C5E77" w14:paraId="075D8328" w14:textId="039C73B6">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off" w:after="0" w:afterAutospacing="off" w:line="360" w:lineRule="auto"/>
        <w:jc w:val="center"/>
        <w:rPr>
          <w:b w:val="0"/>
          <w:bCs w:val="0"/>
          <w:i w:val="1"/>
          <w:iCs w:val="1"/>
          <w:sz w:val="28"/>
          <w:szCs w:val="28"/>
          <w:lang w:val="en-US"/>
        </w:rPr>
      </w:pPr>
      <w:r w:rsidRPr="4D1236D9" w:rsidR="4CD2DD95">
        <w:rPr>
          <w:b w:val="0"/>
          <w:bCs w:val="0"/>
          <w:i w:val="1"/>
          <w:iCs w:val="1"/>
          <w:color w:val="000000" w:themeColor="text1" w:themeTint="FF" w:themeShade="FF"/>
          <w:sz w:val="28"/>
          <w:szCs w:val="28"/>
          <w:lang w:val="en-US"/>
        </w:rPr>
        <w:t>Industry Recognition for Supply Chain Prowess</w:t>
      </w:r>
    </w:p>
    <w:p w:rsidRPr="00143934" w:rsidR="003C5E77" w:rsidP="4D1236D9" w:rsidRDefault="003C5E77" w14:paraId="00000002" w14:textId="4297FC75">
      <w:pPr>
        <w:pStyle w:val="Normal"/>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off" w:after="0" w:afterAutospacing="off"/>
        <w:jc w:val="center"/>
        <w:rPr>
          <w:rFonts w:eastAsia="Calibri"/>
          <w:b w:val="1"/>
          <w:bCs w:val="1"/>
          <w:color w:val="0D0D0D"/>
          <w:sz w:val="32"/>
          <w:szCs w:val="32"/>
          <w:lang w:val="en-US"/>
        </w:rPr>
      </w:pPr>
    </w:p>
    <w:p w:rsidRPr="00143934" w:rsidR="00877765" w:rsidP="4D1236D9" w:rsidRDefault="00D776D8" w14:paraId="07C9A5B9" w14:textId="4B6CC369">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off" w:after="0" w:afterAutospacing="off" w:line="360" w:lineRule="auto"/>
        <w:jc w:val="both"/>
        <w:rPr>
          <w:rFonts w:eastAsia="Calibri"/>
          <w:b w:val="0"/>
          <w:bCs w:val="0"/>
          <w:color w:val="000000" w:themeColor="text1"/>
          <w:lang w:val="en-US"/>
        </w:rPr>
      </w:pPr>
      <w:r w:rsidRPr="4D1236D9" w:rsidR="4CD2DD95">
        <w:rPr>
          <w:rFonts w:eastAsia="Calibri"/>
          <w:b w:val="1"/>
          <w:bCs w:val="1"/>
          <w:color w:val="0D0D0D" w:themeColor="text1" w:themeTint="F2" w:themeShade="FF"/>
          <w:lang w:val="en-US"/>
        </w:rPr>
        <w:t>Northlake, Texas (May 4, 2026)</w:t>
      </w:r>
      <w:r w:rsidRPr="4D1236D9" w:rsidR="4CD2DD95">
        <w:rPr>
          <w:rFonts w:eastAsia="Calibri"/>
          <w:b w:val="0"/>
          <w:bCs w:val="0"/>
          <w:color w:val="0D0D0D" w:themeColor="text1" w:themeTint="F2" w:themeShade="FF"/>
          <w:lang w:val="en-US"/>
        </w:rPr>
        <w:t xml:space="preserve"> </w:t>
      </w:r>
      <w:r w:rsidRPr="4D1236D9" w:rsidR="00D776D8">
        <w:rPr>
          <w:rFonts w:eastAsia="Calibri"/>
          <w:b w:val="0"/>
          <w:bCs w:val="0"/>
          <w:color w:val="0D0D0D" w:themeColor="text1" w:themeTint="F2" w:themeShade="FF"/>
          <w:lang w:val="en-US"/>
        </w:rPr>
        <w:t>EPG</w:t>
      </w:r>
      <w:r w:rsidRPr="4D1236D9" w:rsidR="00160874">
        <w:rPr>
          <w:rFonts w:eastAsia="Calibri"/>
          <w:b w:val="0"/>
          <w:bCs w:val="0"/>
          <w:color w:val="0D0D0D" w:themeColor="text1" w:themeTint="F2" w:themeShade="FF"/>
          <w:lang w:val="en-US"/>
        </w:rPr>
        <w:t xml:space="preserve"> (Ehrhardt Partner Group),</w:t>
      </w:r>
      <w:r w:rsidRPr="4D1236D9" w:rsidR="00160874">
        <w:rPr>
          <w:rFonts w:eastAsia="Calibri"/>
          <w:b w:val="0"/>
          <w:bCs w:val="0"/>
          <w:color w:val="000000" w:themeColor="text1" w:themeTint="FF" w:themeShade="FF"/>
          <w:lang w:val="en-US"/>
        </w:rPr>
        <w:t xml:space="preserve"> </w:t>
      </w:r>
      <w:r w:rsidRPr="4D1236D9" w:rsidR="00877765">
        <w:rPr>
          <w:rFonts w:eastAsia="Calibri"/>
          <w:b w:val="0"/>
          <w:bCs w:val="0"/>
          <w:color w:val="000000" w:themeColor="text1" w:themeTint="FF" w:themeShade="FF"/>
          <w:lang w:val="en-US"/>
        </w:rPr>
        <w:t>a global leader in unified supply chain execution and warehouse management technology, announced today it has been named a Challenger in the Gartner® Magic Quadrant™ for Warehouse Management Systems (WMS). This is the fifth consecutive recognition for EPG as a Challenger, acknowledged for its Ability to Execute and Completeness of Vision.</w:t>
      </w:r>
    </w:p>
    <w:p w:rsidRPr="00143934" w:rsidR="00877765" w:rsidP="00877765" w:rsidRDefault="00877765" w14:paraId="5DE77150"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p>
    <w:p w:rsidRPr="00143934" w:rsidR="00877765" w:rsidP="4D1236D9" w:rsidRDefault="00877765" w14:paraId="12F2F25E" w14:textId="4E4E8A01">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r w:rsidRPr="4D1236D9" w:rsidR="00877765">
        <w:rPr>
          <w:rFonts w:eastAsia="Calibri"/>
          <w:color w:val="000000" w:themeColor="text1" w:themeTint="FF" w:themeShade="FF"/>
          <w:lang w:val="en-US"/>
        </w:rPr>
        <w:t xml:space="preserve">“We believe EPG’s recognition in the 2026 Gartner® Magic Quadrant™ for WMS reflects our ongoing dedication to product innovation and global customer growth,” states </w:t>
      </w:r>
      <w:r w:rsidRPr="4D1236D9" w:rsidR="0F8C34C6">
        <w:rPr>
          <w:rFonts w:eastAsia="Calibri"/>
          <w:color w:val="000000" w:themeColor="text1" w:themeTint="FF" w:themeShade="FF"/>
          <w:lang w:val="en-US"/>
        </w:rPr>
        <w:t>Dennis Kunz</w:t>
      </w:r>
      <w:r w:rsidRPr="4D1236D9" w:rsidR="00877765">
        <w:rPr>
          <w:rFonts w:eastAsia="Calibri"/>
          <w:color w:val="000000" w:themeColor="text1" w:themeTint="FF" w:themeShade="FF"/>
          <w:lang w:val="en-US"/>
        </w:rPr>
        <w:t>, Ch</w:t>
      </w:r>
      <w:r w:rsidRPr="4D1236D9" w:rsidR="28E6800D">
        <w:rPr>
          <w:rFonts w:eastAsia="Calibri"/>
          <w:color w:val="000000" w:themeColor="text1" w:themeTint="FF" w:themeShade="FF"/>
          <w:lang w:val="en-US"/>
        </w:rPr>
        <w:t>ief Marketing Officer</w:t>
      </w:r>
      <w:r w:rsidRPr="4D1236D9" w:rsidR="00877765">
        <w:rPr>
          <w:rFonts w:eastAsia="Calibri"/>
          <w:color w:val="000000" w:themeColor="text1" w:themeTint="FF" w:themeShade="FF"/>
          <w:lang w:val="en-US"/>
        </w:rPr>
        <w:t xml:space="preserve"> of EPG. “We are continuously innovating our supply chain execution suite. As the market evolves, EPG's solutions evolve in tandem, ensuring our customers are equipped to </w:t>
      </w:r>
      <w:r w:rsidRPr="4D1236D9" w:rsidR="00877765">
        <w:rPr>
          <w:rFonts w:eastAsia="Calibri"/>
          <w:color w:val="000000" w:themeColor="text1" w:themeTint="FF" w:themeShade="FF"/>
          <w:lang w:val="en-US"/>
        </w:rPr>
        <w:t>optimize</w:t>
      </w:r>
      <w:r w:rsidRPr="4D1236D9" w:rsidR="00877765">
        <w:rPr>
          <w:rFonts w:eastAsia="Calibri"/>
          <w:color w:val="000000" w:themeColor="text1" w:themeTint="FF" w:themeShade="FF"/>
          <w:lang w:val="en-US"/>
        </w:rPr>
        <w:t xml:space="preserve"> performance and increasingly integrate AI-driven insights and intelligent automation.”</w:t>
      </w:r>
    </w:p>
    <w:p w:rsidRPr="00143934" w:rsidR="00877765" w:rsidP="00877765" w:rsidRDefault="00877765" w14:paraId="0D48ADA2"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p>
    <w:p w:rsidRPr="00143934" w:rsidR="00877765" w:rsidP="4D1236D9" w:rsidRDefault="00877765" w14:paraId="3839DD25" w14:textId="218B1D5A">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r w:rsidRPr="4D1236D9" w:rsidR="00877765">
        <w:rPr>
          <w:rFonts w:eastAsia="Calibri"/>
          <w:color w:val="000000" w:themeColor="text1" w:themeTint="FF" w:themeShade="FF"/>
          <w:lang w:val="en-US"/>
        </w:rPr>
        <w:t xml:space="preserve">EPG’s supply chain execution suite </w:t>
      </w:r>
      <w:hyperlink r:id="R116637f89b194c2a">
        <w:r w:rsidRPr="4D1236D9" w:rsidR="00877765">
          <w:rPr>
            <w:rStyle w:val="Hyperlink"/>
            <w:rFonts w:eastAsia="Calibri"/>
            <w:lang w:val="en-US"/>
          </w:rPr>
          <w:t>EPG ONE</w:t>
        </w:r>
      </w:hyperlink>
      <w:r w:rsidRPr="4D1236D9" w:rsidR="00877765">
        <w:rPr>
          <w:rFonts w:eastAsia="Calibri"/>
          <w:color w:val="000000" w:themeColor="text1" w:themeTint="FF" w:themeShade="FF"/>
          <w:lang w:val="en-US"/>
        </w:rPr>
        <w:t xml:space="preserve"> offers global brands an end-to-end solution spanning advanced warehouse management, warehouse control, voice solutions, intelligent route planning, workforce management, contract and billing management, and a robust supply chain control tower. </w:t>
      </w:r>
      <w:r w:rsidRPr="4D1236D9" w:rsidR="00877765">
        <w:rPr>
          <w:rFonts w:eastAsia="Calibri"/>
          <w:color w:val="000000" w:themeColor="text1" w:themeTint="FF" w:themeShade="FF"/>
          <w:lang w:val="en-GB"/>
        </w:rPr>
        <w:t xml:space="preserve">Enhanced by </w:t>
      </w:r>
      <w:hyperlink r:id="R0f784e78f6c549d0">
        <w:r w:rsidRPr="4D1236D9" w:rsidR="00877765">
          <w:rPr>
            <w:rStyle w:val="Hyperlink"/>
            <w:rFonts w:eastAsia="Calibri"/>
            <w:lang w:val="en-GB"/>
          </w:rPr>
          <w:t>EPG AURA</w:t>
        </w:r>
      </w:hyperlink>
      <w:r w:rsidRPr="4D1236D9" w:rsidR="00877765">
        <w:rPr>
          <w:rFonts w:eastAsia="Calibri"/>
          <w:color w:val="000000" w:themeColor="text1" w:themeTint="FF" w:themeShade="FF"/>
          <w:lang w:val="en-GB"/>
        </w:rPr>
        <w:t xml:space="preserve">, these systems are connected through an intelligent layer that offers actionable insights and supports faster, smarter decisions. </w:t>
      </w:r>
    </w:p>
    <w:p w:rsidRPr="00143934" w:rsidR="00877765" w:rsidP="00877765" w:rsidRDefault="00877765" w14:paraId="1EE59E40"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p>
    <w:p w:rsidRPr="00143934" w:rsidR="00877765" w:rsidP="4D1236D9" w:rsidRDefault="00877765" w14:paraId="69F4AD80" w14:textId="35C3E123">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GB"/>
        </w:rPr>
      </w:pPr>
      <w:r w:rsidRPr="4D1236D9" w:rsidR="00877765">
        <w:rPr>
          <w:rFonts w:eastAsia="Calibri"/>
          <w:color w:val="000000" w:themeColor="text1" w:themeTint="FF" w:themeShade="FF"/>
          <w:lang w:val="en-US"/>
        </w:rPr>
        <w:t xml:space="preserve">As consumer expectations and </w:t>
      </w:r>
      <w:bookmarkStart w:name="_Int_paxa143H" w:id="0"/>
      <w:r w:rsidRPr="4D1236D9" w:rsidR="00877765">
        <w:rPr>
          <w:rFonts w:eastAsia="Calibri"/>
          <w:color w:val="000000" w:themeColor="text1" w:themeTint="FF" w:themeShade="FF"/>
          <w:lang w:val="en-US"/>
        </w:rPr>
        <w:t>logistics</w:t>
      </w:r>
      <w:bookmarkEnd w:id="0"/>
      <w:r w:rsidRPr="4D1236D9" w:rsidR="00877765">
        <w:rPr>
          <w:rFonts w:eastAsia="Calibri"/>
          <w:color w:val="000000" w:themeColor="text1" w:themeTint="FF" w:themeShade="FF"/>
          <w:lang w:val="en-US"/>
        </w:rPr>
        <w:t xml:space="preserve"> complexity continue to rise, effective supply chain technology has never been more critical. </w:t>
      </w:r>
      <w:r w:rsidRPr="4D1236D9" w:rsidR="00877765">
        <w:rPr>
          <w:rFonts w:eastAsia="Calibri"/>
          <w:lang w:val="en-US"/>
        </w:rPr>
        <w:t>EPG’s WMS solution</w:t>
      </w:r>
      <w:r w:rsidRPr="4D1236D9" w:rsidR="00877765">
        <w:rPr>
          <w:rFonts w:eastAsia="Calibri"/>
          <w:color w:val="000000" w:themeColor="text1" w:themeTint="FF" w:themeShade="FF"/>
          <w:lang w:val="en-US"/>
        </w:rPr>
        <w:t xml:space="preserve"> empowers global organizations to optimize operations at every level of complexity and scale. Across diverse industries, EPG delivers robust software to maximize performance, exceed end consumer demands, and integrate</w:t>
      </w:r>
      <w:r w:rsidRPr="4D1236D9" w:rsidR="00877765">
        <w:rPr>
          <w:rFonts w:eastAsia="Calibri"/>
          <w:color w:val="000000" w:themeColor="text1" w:themeTint="FF" w:themeShade="FF"/>
          <w:lang w:val="en-GB"/>
        </w:rPr>
        <w:t xml:space="preserve"> AI-supported visibility, orchestration, and adaptive decision support.</w:t>
      </w:r>
    </w:p>
    <w:p w:rsidRPr="00143934" w:rsidR="00877765" w:rsidP="00877765" w:rsidRDefault="00877765" w14:paraId="6AB106CD"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p>
    <w:p w:rsidRPr="00143934" w:rsidR="00877765" w:rsidP="4D1236D9" w:rsidRDefault="00877765" w14:paraId="245ED79E" w14:textId="2B546654">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00000" w:themeColor="text1"/>
          <w:lang w:val="en-US"/>
        </w:rPr>
      </w:pPr>
      <w:hyperlink r:id="Rad2b9d72f852418c">
        <w:r w:rsidRPr="4D1236D9" w:rsidR="00877765">
          <w:rPr>
            <w:rStyle w:val="Hyperlink"/>
            <w:rFonts w:eastAsia="Calibri"/>
            <w:lang w:val="en-US"/>
          </w:rPr>
          <w:t>Download the 2026 Gartner® Magic Quadrant™ report</w:t>
        </w:r>
      </w:hyperlink>
      <w:r w:rsidRPr="4D1236D9" w:rsidR="00877765">
        <w:rPr>
          <w:rFonts w:eastAsia="Calibri"/>
          <w:color w:val="000000" w:themeColor="text1" w:themeTint="FF" w:themeShade="FF"/>
          <w:lang w:val="en-US"/>
        </w:rPr>
        <w:t xml:space="preserve"> and learn why EPG was recognized as a Challenger for the fifth consecutive time at </w:t>
      </w:r>
      <w:hyperlink r:id="Rf61248ffe0d44586">
        <w:r w:rsidRPr="4D1236D9" w:rsidR="00877765">
          <w:rPr>
            <w:rStyle w:val="Hyperlink"/>
            <w:rFonts w:eastAsia="Calibri"/>
            <w:lang w:val="en-US"/>
          </w:rPr>
          <w:t>epg.com</w:t>
        </w:r>
      </w:hyperlink>
      <w:r w:rsidRPr="4D1236D9" w:rsidR="00877765">
        <w:rPr>
          <w:rFonts w:eastAsia="Calibri"/>
          <w:color w:val="000000" w:themeColor="text1" w:themeTint="FF" w:themeShade="FF"/>
          <w:lang w:val="en-US"/>
        </w:rPr>
        <w:t>.</w:t>
      </w:r>
    </w:p>
    <w:p w:rsidRPr="00143934" w:rsidR="009C4FF6" w:rsidP="4D1236D9" w:rsidRDefault="009C4FF6" w14:paraId="50508B35" w14:textId="763B6EA5">
      <w:pPr>
        <w:pStyle w:val="Normal"/>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rFonts w:eastAsia="Calibri"/>
          <w:color w:val="0D0D0D" w:themeColor="text1" w:themeTint="F2" w:themeShade="FF"/>
        </w:rPr>
      </w:pPr>
    </w:p>
    <w:p w:rsidRPr="00B43D6A" w:rsidR="00B43D6A" w:rsidP="00B43D6A" w:rsidRDefault="00291F80" w14:paraId="7BDCDDAA"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r w:rsidRPr="00B43D6A">
        <w:rPr>
          <w:sz w:val="16"/>
          <w:szCs w:val="16"/>
          <w:lang w:val="en-US"/>
        </w:rPr>
        <w:lastRenderedPageBreak/>
        <w:t xml:space="preserve">Gartner, Magic Quadrant for Warehouse Management Systems, Simon Tunstall, Rishabh Narang, Federica Stufano, </w:t>
      </w:r>
      <w:r w:rsidRPr="00B43D6A" w:rsidR="0082526F">
        <w:rPr>
          <w:sz w:val="16"/>
          <w:szCs w:val="16"/>
          <w:lang w:val="en-US"/>
        </w:rPr>
        <w:t>29 April</w:t>
      </w:r>
      <w:r w:rsidRPr="00B43D6A">
        <w:rPr>
          <w:sz w:val="16"/>
          <w:szCs w:val="16"/>
          <w:lang w:val="en-US"/>
        </w:rPr>
        <w:t xml:space="preserve"> 202</w:t>
      </w:r>
      <w:r w:rsidRPr="00B43D6A" w:rsidR="00143934">
        <w:rPr>
          <w:sz w:val="16"/>
          <w:szCs w:val="16"/>
          <w:lang w:val="en-US"/>
        </w:rPr>
        <w:t>6</w:t>
      </w:r>
      <w:r w:rsidRPr="00B43D6A">
        <w:rPr>
          <w:sz w:val="16"/>
          <w:szCs w:val="16"/>
          <w:lang w:val="en-US"/>
        </w:rPr>
        <w:t>.</w:t>
      </w:r>
    </w:p>
    <w:p w:rsidRPr="00B43D6A" w:rsidR="00B43D6A" w:rsidP="00B43D6A" w:rsidRDefault="00B43D6A" w14:paraId="3690935B"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p>
    <w:p w:rsidRPr="00B43D6A" w:rsidR="00B43D6A" w:rsidP="00B43D6A" w:rsidRDefault="0082526F" w14:paraId="01A95D4D" w14:textId="3865DB08">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r w:rsidRPr="00B43D6A">
        <w:rPr>
          <w:sz w:val="16"/>
          <w:szCs w:val="16"/>
          <w:lang w:val="en-US"/>
        </w:rPr>
        <w:t>Gartner and Magic Quadrant are trademarks of Gartner, Inc. and/or its affiliates.</w:t>
      </w:r>
    </w:p>
    <w:p w:rsidRPr="00B43D6A" w:rsidR="00B43D6A" w:rsidP="00B43D6A" w:rsidRDefault="00B43D6A" w14:paraId="71C89E17"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p>
    <w:p w:rsidRPr="00B43D6A" w:rsidR="00B43D6A" w:rsidP="00B43D6A" w:rsidRDefault="00B43D6A" w14:paraId="79D59FF7" w14:textId="2B8393C4">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r w:rsidRPr="00B43D6A">
        <w:rPr>
          <w:sz w:val="16"/>
          <w:szCs w:val="16"/>
          <w:lang w:val="en-US"/>
        </w:rPr>
        <w:t>G</w:t>
      </w:r>
      <w:r w:rsidRPr="00B43D6A" w:rsidR="0082526F">
        <w:rPr>
          <w:sz w:val="16"/>
          <w:szCs w:val="16"/>
          <w:lang w:val="en-US"/>
        </w:rPr>
        <w:t>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w:t>
      </w:r>
    </w:p>
    <w:p w:rsidRPr="00B43D6A" w:rsidR="00B43D6A" w:rsidP="00B43D6A" w:rsidRDefault="00B43D6A" w14:paraId="6707A64C" w14:textId="77777777">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line="360" w:lineRule="auto"/>
        <w:jc w:val="both"/>
        <w:rPr>
          <w:sz w:val="16"/>
          <w:szCs w:val="16"/>
          <w:lang w:val="en-US"/>
        </w:rPr>
      </w:pPr>
    </w:p>
    <w:p w:rsidRPr="00143934" w:rsidR="00177D1B" w:rsidP="4D1236D9" w:rsidRDefault="00177D1B" w14:paraId="3EA4C62D" w14:textId="02EC630F">
      <w:pPr>
        <w:pBdr>
          <w:top w:val="none" w:color="E3E3E3" w:sz="0" w:space="0"/>
          <w:left w:val="none" w:color="E3E3E3" w:sz="0" w:space="0"/>
          <w:bottom w:val="none" w:color="E3E3E3" w:sz="0" w:space="31"/>
          <w:right w:val="none" w:color="E3E3E3" w:sz="0" w:space="0"/>
          <w:between w:val="none" w:color="E3E3E3" w:sz="0" w:space="0"/>
        </w:pBdr>
        <w:shd w:val="clear" w:color="auto" w:fill="FFFFFF" w:themeFill="background1"/>
        <w:spacing w:before="0" w:beforeAutospacing="0" w:after="0" w:afterAutospacing="0" w:line="360" w:lineRule="auto"/>
        <w:jc w:val="both"/>
        <w:textAlignment w:val="baseline"/>
        <w:rPr>
          <w:rFonts w:ascii="Arial" w:hAnsi="Arial" w:cs="Arial"/>
          <w:sz w:val="18"/>
          <w:szCs w:val="18"/>
        </w:rPr>
      </w:pPr>
      <w:r w:rsidRPr="4D1236D9" w:rsidR="00291F80">
        <w:rPr>
          <w:sz w:val="16"/>
          <w:szCs w:val="16"/>
          <w:lang w:val="en-US"/>
        </w:rPr>
        <w:t>This graphic was published by Gartner, Inc. as part of a larger research document and should be evaluated in the context of the entire document. The Gartner document is available upon request from EPG</w:t>
      </w:r>
      <w:r w:rsidRPr="4D1236D9" w:rsidR="15B61CDC">
        <w:rPr>
          <w:sz w:val="16"/>
          <w:szCs w:val="16"/>
          <w:lang w:val="en-US"/>
        </w:rPr>
        <w:t>.</w:t>
      </w:r>
      <w:r w:rsidRPr="4D1236D9" w:rsidR="00177D1B">
        <w:rPr>
          <w:rStyle w:val="eop"/>
          <w:rFonts w:ascii="Arial" w:hAnsi="Arial" w:cs="Arial"/>
          <w:color w:val="000000" w:themeColor="text1" w:themeTint="FF" w:themeShade="FF"/>
          <w:sz w:val="22"/>
          <w:szCs w:val="22"/>
        </w:rPr>
        <w:t> </w:t>
      </w:r>
    </w:p>
    <w:p w:rsidRPr="00143934" w:rsidR="00177D1B" w:rsidP="00177D1B" w:rsidRDefault="00177D1B" w14:paraId="52537D0B" w14:textId="77777777">
      <w:pPr>
        <w:pStyle w:val="paragraph"/>
        <w:spacing w:before="0" w:beforeAutospacing="0" w:after="0" w:afterAutospacing="0"/>
        <w:jc w:val="both"/>
        <w:textAlignment w:val="baseline"/>
        <w:rPr>
          <w:rStyle w:val="eop"/>
          <w:rFonts w:ascii="Arial" w:hAnsi="Arial" w:cs="Arial"/>
          <w:color w:val="000000"/>
          <w:sz w:val="20"/>
          <w:szCs w:val="20"/>
        </w:rPr>
      </w:pPr>
      <w:r w:rsidRPr="00143934">
        <w:rPr>
          <w:rStyle w:val="normaltextrun"/>
          <w:rFonts w:ascii="Arial" w:hAnsi="Arial" w:cs="Arial"/>
          <w:b/>
          <w:bCs/>
          <w:color w:val="000000"/>
          <w:sz w:val="20"/>
          <w:szCs w:val="20"/>
        </w:rPr>
        <w:t>EPG – Smarter Connected Logistics</w:t>
      </w:r>
      <w:r w:rsidRPr="00143934">
        <w:rPr>
          <w:rStyle w:val="eop"/>
          <w:rFonts w:ascii="Arial" w:hAnsi="Arial" w:cs="Arial"/>
          <w:color w:val="000000"/>
          <w:sz w:val="20"/>
          <w:szCs w:val="20"/>
        </w:rPr>
        <w:t> </w:t>
      </w:r>
    </w:p>
    <w:p w:rsidRPr="00143934" w:rsidR="00B936CD" w:rsidP="00177D1B" w:rsidRDefault="00B936CD" w14:paraId="2994FCCC" w14:textId="77777777">
      <w:pPr>
        <w:pStyle w:val="paragraph"/>
        <w:spacing w:before="0" w:beforeAutospacing="0" w:after="0" w:afterAutospacing="0"/>
        <w:jc w:val="both"/>
        <w:textAlignment w:val="baseline"/>
        <w:rPr>
          <w:rFonts w:ascii="Arial" w:hAnsi="Arial" w:cs="Arial"/>
          <w:sz w:val="18"/>
          <w:szCs w:val="18"/>
        </w:rPr>
      </w:pPr>
    </w:p>
    <w:p w:rsidRPr="00143934" w:rsidR="009C1C0B" w:rsidP="009C1C0B" w:rsidRDefault="009C1C0B" w14:paraId="4BF25BC9" w14:textId="0818F6D1">
      <w:pPr>
        <w:pStyle w:val="BoilerPlate"/>
        <w:suppressLineNumbers w:val="1"/>
        <w:spacing w:line="360" w:lineRule="auto"/>
        <w:rPr>
          <w:lang w:val="en-US"/>
        </w:rPr>
      </w:pPr>
      <w:r w:rsidRPr="4D1236D9" w:rsidR="009C1C0B">
        <w:rPr>
          <w:rFonts w:eastAsia="Arial"/>
          <w:color w:val="000000" w:themeColor="text1" w:themeTint="FF" w:themeShade="FF"/>
          <w:lang w:val="en-US"/>
        </w:rPr>
        <w:t xml:space="preserve">Ehrhardt Partner Group (EPG) is a global leader in unified supply chain execution technology, supporting global brands for over 35 years with smarter connected </w:t>
      </w:r>
      <w:r w:rsidRPr="4D1236D9" w:rsidR="009C1C0B">
        <w:rPr>
          <w:rFonts w:eastAsia="Arial"/>
          <w:color w:val="000000" w:themeColor="text1" w:themeTint="FF" w:themeShade="FF"/>
          <w:lang w:val="en-US"/>
        </w:rPr>
        <w:t>logistics</w:t>
      </w:r>
      <w:r w:rsidRPr="4D1236D9" w:rsidR="009C1C0B">
        <w:rPr>
          <w:rFonts w:eastAsia="Arial"/>
          <w:color w:val="000000" w:themeColor="text1" w:themeTint="FF" w:themeShade="FF"/>
          <w:lang w:val="en-US"/>
        </w:rPr>
        <w:t xml:space="preserve">. Over 1,600 organizations around the world put their trust in EPG and its suite of solutions to </w:t>
      </w:r>
      <w:r w:rsidRPr="4D1236D9" w:rsidR="009C1C0B">
        <w:rPr>
          <w:rFonts w:eastAsia="Arial"/>
          <w:color w:val="000000" w:themeColor="text1" w:themeTint="FF" w:themeShade="FF"/>
          <w:lang w:val="en-US"/>
        </w:rPr>
        <w:t>optimize</w:t>
      </w:r>
      <w:r w:rsidRPr="4D1236D9" w:rsidR="009C1C0B">
        <w:rPr>
          <w:rFonts w:eastAsia="Arial"/>
          <w:color w:val="000000" w:themeColor="text1" w:themeTint="FF" w:themeShade="FF"/>
          <w:lang w:val="en-US"/>
        </w:rPr>
        <w:t xml:space="preserve"> complex </w:t>
      </w:r>
      <w:r w:rsidRPr="4D1236D9" w:rsidR="009C1C0B">
        <w:rPr>
          <w:rFonts w:eastAsia="Arial"/>
          <w:color w:val="000000" w:themeColor="text1" w:themeTint="FF" w:themeShade="FF"/>
          <w:lang w:val="en-US"/>
        </w:rPr>
        <w:t>logistics</w:t>
      </w:r>
      <w:r w:rsidRPr="4D1236D9" w:rsidR="009C1C0B">
        <w:rPr>
          <w:rFonts w:eastAsia="Arial"/>
          <w:color w:val="000000" w:themeColor="text1" w:themeTint="FF" w:themeShade="FF"/>
          <w:lang w:val="en-US"/>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r w:rsidRPr="4D1236D9" w:rsidR="009C1C0B">
        <w:rPr>
          <w:rFonts w:eastAsia="Arial"/>
          <w:color w:val="000000" w:themeColor="text1" w:themeTint="FF" w:themeShade="FF"/>
          <w:lang w:val="en-US"/>
        </w:rPr>
        <w:t>logistics</w:t>
      </w:r>
      <w:r w:rsidRPr="4D1236D9" w:rsidR="009C1C0B">
        <w:rPr>
          <w:rFonts w:eastAsia="Arial"/>
          <w:color w:val="000000" w:themeColor="text1" w:themeTint="FF" w:themeShade="FF"/>
          <w:lang w:val="en-US"/>
        </w:rPr>
        <w:t xml:space="preserve"> management from end-to-end. To learn how EPG powers smarter connected </w:t>
      </w:r>
      <w:r w:rsidRPr="4D1236D9" w:rsidR="009C1C0B">
        <w:rPr>
          <w:rFonts w:eastAsia="Arial"/>
          <w:color w:val="000000" w:themeColor="text1" w:themeTint="FF" w:themeShade="FF"/>
          <w:lang w:val="en-US"/>
        </w:rPr>
        <w:t>logistics</w:t>
      </w:r>
      <w:r w:rsidRPr="4D1236D9" w:rsidR="009C1C0B">
        <w:rPr>
          <w:rFonts w:eastAsia="Arial"/>
          <w:color w:val="000000" w:themeColor="text1" w:themeTint="FF" w:themeShade="FF"/>
          <w:lang w:val="en-US"/>
        </w:rPr>
        <w:t xml:space="preserve"> for organizations worldwide, visit </w:t>
      </w:r>
      <w:hyperlink r:id="R7e86b9151c62491e">
        <w:r w:rsidRPr="4D1236D9" w:rsidR="4D0E207A">
          <w:rPr>
            <w:rStyle w:val="Hyperlink"/>
            <w:rFonts w:eastAsia="Calibri"/>
            <w:lang w:val="en-US"/>
          </w:rPr>
          <w:t>epg.com</w:t>
        </w:r>
      </w:hyperlink>
      <w:r w:rsidRPr="4D1236D9" w:rsidR="009C1C0B">
        <w:rPr>
          <w:rFonts w:eastAsia="Arial"/>
          <w:color w:val="000000" w:themeColor="text1" w:themeTint="FF" w:themeShade="FF"/>
          <w:lang w:val="en-US"/>
        </w:rPr>
        <w:t xml:space="preserve">. </w:t>
      </w:r>
      <w:r w:rsidRPr="4D1236D9" w:rsidR="009C1C0B">
        <w:rPr>
          <w:lang w:val="en-US"/>
        </w:rPr>
        <w:t xml:space="preserve"> </w:t>
      </w:r>
    </w:p>
    <w:p w:rsidRPr="00143934" w:rsidR="00177D1B" w:rsidP="4D1236D9" w:rsidRDefault="00177D1B" w14:paraId="5592ADF5" w14:textId="1D5DDDB7">
      <w:pPr>
        <w:pStyle w:val="paragraph"/>
        <w:spacing w:before="0" w:beforeAutospacing="off" w:after="0" w:afterAutospacing="off"/>
        <w:textAlignment w:val="baseline"/>
      </w:pPr>
      <w:r w:rsidRPr="4D1236D9" w:rsidR="00177D1B">
        <w:rPr>
          <w:rStyle w:val="eop"/>
          <w:rFonts w:ascii="Arial" w:hAnsi="Arial" w:cs="Arial"/>
          <w:color w:val="000000" w:themeColor="text1" w:themeTint="FF" w:themeShade="FF"/>
          <w:sz w:val="20"/>
          <w:szCs w:val="20"/>
        </w:rPr>
        <w:t> </w:t>
      </w:r>
    </w:p>
    <w:p w:rsidRPr="00143934" w:rsidR="00177D1B" w:rsidP="4D1236D9" w:rsidRDefault="00177D1B" w14:paraId="25AC54DD" w14:textId="2272A524">
      <w:pPr>
        <w:pStyle w:val="paragraph"/>
        <w:spacing w:before="0" w:beforeAutospacing="off" w:after="0" w:afterAutospacing="off"/>
        <w:textAlignment w:val="baseline"/>
        <w:rPr>
          <w:rStyle w:val="eop"/>
          <w:rFonts w:ascii="Arial" w:hAnsi="Arial" w:cs="Arial"/>
          <w:color w:val="000000" w:themeColor="text1" w:themeTint="FF" w:themeShade="FF"/>
          <w:sz w:val="20"/>
          <w:szCs w:val="20"/>
        </w:rPr>
      </w:pPr>
    </w:p>
    <w:p w:rsidRPr="00143934" w:rsidR="00177D1B" w:rsidP="4D1236D9" w:rsidRDefault="00177D1B" w14:paraId="2A6D3A30" w14:textId="1BA55116">
      <w:pPr>
        <w:pStyle w:val="paragraph"/>
        <w:spacing w:before="0" w:beforeAutospacing="off" w:after="0" w:afterAutospacing="off" w:line="360" w:lineRule="auto"/>
        <w:textAlignment w:val="baseline"/>
        <w:rPr>
          <w:rStyle w:val="eop"/>
          <w:rFonts w:ascii="Arial" w:hAnsi="Arial" w:cs="Arial"/>
          <w:b w:val="1"/>
          <w:bCs w:val="1"/>
          <w:color w:val="000000" w:themeColor="text1" w:themeTint="FF" w:themeShade="FF"/>
          <w:sz w:val="20"/>
          <w:szCs w:val="20"/>
        </w:rPr>
      </w:pPr>
      <w:r w:rsidRPr="4D1236D9" w:rsidR="102350C3">
        <w:rPr>
          <w:rStyle w:val="eop"/>
          <w:rFonts w:ascii="Arial" w:hAnsi="Arial" w:cs="Arial"/>
          <w:b w:val="1"/>
          <w:bCs w:val="1"/>
          <w:color w:val="000000" w:themeColor="text1" w:themeTint="FF" w:themeShade="FF"/>
          <w:sz w:val="20"/>
          <w:szCs w:val="20"/>
        </w:rPr>
        <w:t>Press Contact</w:t>
      </w:r>
    </w:p>
    <w:p w:rsidRPr="00143934" w:rsidR="00177D1B" w:rsidP="4D1236D9" w:rsidRDefault="00177D1B" w14:paraId="2B66A9AC" w14:textId="5D6CF5A5">
      <w:pPr>
        <w:pStyle w:val="paragraph"/>
        <w:spacing w:before="0" w:beforeAutospacing="off" w:after="0" w:afterAutospacing="off" w:line="360" w:lineRule="auto"/>
        <w:textAlignment w:val="baseline"/>
      </w:pPr>
      <w:r w:rsidRPr="4D1236D9" w:rsidR="102350C3">
        <w:rPr>
          <w:rStyle w:val="eop"/>
          <w:rFonts w:ascii="Arial" w:hAnsi="Arial" w:cs="Arial"/>
          <w:color w:val="000000" w:themeColor="text1" w:themeTint="FF" w:themeShade="FF"/>
          <w:sz w:val="20"/>
          <w:szCs w:val="20"/>
        </w:rPr>
        <w:t>Lindsay Schuemann</w:t>
      </w:r>
    </w:p>
    <w:p w:rsidRPr="00143934" w:rsidR="00177D1B" w:rsidP="4D1236D9" w:rsidRDefault="00177D1B" w14:paraId="43640459" w14:textId="2606CC1F">
      <w:pPr>
        <w:pStyle w:val="paragraph"/>
        <w:spacing w:before="0" w:beforeAutospacing="off" w:after="0" w:afterAutospacing="off" w:line="360" w:lineRule="auto"/>
        <w:textAlignment w:val="baseline"/>
      </w:pPr>
      <w:r w:rsidRPr="4D1236D9" w:rsidR="102350C3">
        <w:rPr>
          <w:rStyle w:val="eop"/>
          <w:rFonts w:ascii="Arial" w:hAnsi="Arial" w:cs="Arial"/>
          <w:color w:val="000000" w:themeColor="text1" w:themeTint="FF" w:themeShade="FF"/>
          <w:sz w:val="20"/>
          <w:szCs w:val="20"/>
        </w:rPr>
        <w:t>Director of Marketing, EPG Americas</w:t>
      </w:r>
    </w:p>
    <w:p w:rsidRPr="00143934" w:rsidR="00177D1B" w:rsidP="4D1236D9" w:rsidRDefault="00177D1B" w14:paraId="23BBE1E7" w14:textId="55221527">
      <w:pPr>
        <w:pStyle w:val="paragraph"/>
        <w:spacing w:before="0" w:beforeAutospacing="off" w:after="0" w:afterAutospacing="off" w:line="360" w:lineRule="auto"/>
        <w:textAlignment w:val="baseline"/>
      </w:pPr>
      <w:r w:rsidRPr="4D1236D9" w:rsidR="102350C3">
        <w:rPr>
          <w:rStyle w:val="eop"/>
          <w:rFonts w:ascii="Arial" w:hAnsi="Arial" w:cs="Arial"/>
          <w:color w:val="000000" w:themeColor="text1" w:themeTint="FF" w:themeShade="FF"/>
          <w:sz w:val="20"/>
          <w:szCs w:val="20"/>
        </w:rPr>
        <w:t>lindsay.schuemann@epg.co</w:t>
      </w:r>
      <w:r w:rsidRPr="4D1236D9" w:rsidR="2FFD6126">
        <w:rPr>
          <w:rStyle w:val="eop"/>
          <w:rFonts w:ascii="Arial" w:hAnsi="Arial" w:cs="Arial"/>
          <w:color w:val="000000" w:themeColor="text1" w:themeTint="FF" w:themeShade="FF"/>
          <w:sz w:val="20"/>
          <w:szCs w:val="20"/>
        </w:rPr>
        <w:t>m</w:t>
      </w:r>
    </w:p>
    <w:p w:rsidRPr="00B936CD" w:rsidR="003C5E77" w:rsidP="4D1236D9" w:rsidRDefault="003C5E77" w14:paraId="00000011" w14:textId="64AC86B7">
      <w:pPr>
        <w:pStyle w:val="Normal"/>
        <w:spacing w:before="0" w:beforeAutospacing="off" w:after="0" w:afterAutospacing="off"/>
        <w:jc w:val="both"/>
        <w:rPr>
          <w:rStyle w:val="eop"/>
          <w:rFonts w:ascii="Arial" w:hAnsi="Arial" w:cs="Arial"/>
          <w:sz w:val="20"/>
          <w:szCs w:val="20"/>
          <w:lang w:val="de-DE"/>
        </w:rPr>
      </w:pPr>
    </w:p>
    <w:sectPr w:rsidRPr="00B936CD" w:rsidR="003C5E77" w:rsidSect="00FF1627">
      <w:headerReference w:type="default" r:id="rId16"/>
      <w:footerReference w:type="default" r:id="rId17"/>
      <w:headerReference w:type="first" r:id="rId18"/>
      <w:footerReference w:type="first" r:id="rId19"/>
      <w:pgSz w:w="12240" w:h="15840" w:orient="portrait"/>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6027" w:rsidP="00177D1B" w:rsidRDefault="00816027" w14:paraId="33F7F564" w14:textId="77777777">
      <w:pPr>
        <w:spacing w:line="240" w:lineRule="auto"/>
      </w:pPr>
      <w:r>
        <w:separator/>
      </w:r>
    </w:p>
  </w:endnote>
  <w:endnote w:type="continuationSeparator" w:id="0">
    <w:p w:rsidR="00816027" w:rsidP="00177D1B" w:rsidRDefault="00816027" w14:paraId="3DA9E81F" w14:textId="77777777">
      <w:pPr>
        <w:spacing w:line="240" w:lineRule="auto"/>
      </w:pPr>
      <w:r>
        <w:continuationSeparator/>
      </w:r>
    </w:p>
  </w:endnote>
  <w:endnote w:type="continuationNotice" w:id="1">
    <w:p w:rsidR="00816027" w:rsidRDefault="00816027" w14:paraId="7CD53807"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rsidTr="22BA37E1" w14:paraId="0445EF65" w14:textId="77777777">
      <w:trPr>
        <w:trHeight w:val="300"/>
      </w:trPr>
      <w:tc>
        <w:tcPr>
          <w:tcW w:w="3120" w:type="dxa"/>
        </w:tcPr>
        <w:p w:rsidR="22BA37E1" w:rsidP="22BA37E1" w:rsidRDefault="22BA37E1" w14:paraId="7EE98B89" w14:textId="40268775">
          <w:pPr>
            <w:pStyle w:val="Header"/>
            <w:ind w:left="-115"/>
          </w:pPr>
        </w:p>
      </w:tc>
      <w:tc>
        <w:tcPr>
          <w:tcW w:w="3120" w:type="dxa"/>
        </w:tcPr>
        <w:p w:rsidR="22BA37E1" w:rsidP="22BA37E1" w:rsidRDefault="22BA37E1" w14:paraId="547282A4" w14:textId="5533DF8E">
          <w:pPr>
            <w:pStyle w:val="Header"/>
            <w:jc w:val="center"/>
          </w:pPr>
        </w:p>
      </w:tc>
      <w:tc>
        <w:tcPr>
          <w:tcW w:w="3120" w:type="dxa"/>
        </w:tcPr>
        <w:p w:rsidR="22BA37E1" w:rsidP="22BA37E1" w:rsidRDefault="22BA37E1" w14:paraId="361A998D" w14:textId="37BC5348">
          <w:pPr>
            <w:pStyle w:val="Header"/>
            <w:ind w:right="-115"/>
            <w:jc w:val="right"/>
          </w:pPr>
        </w:p>
      </w:tc>
    </w:tr>
  </w:tbl>
  <w:p w:rsidR="22BA37E1" w:rsidP="22BA37E1" w:rsidRDefault="22BA37E1" w14:paraId="7E90F050" w14:textId="17504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rsidTr="22BA37E1" w14:paraId="71F53203" w14:textId="77777777">
      <w:trPr>
        <w:trHeight w:val="300"/>
      </w:trPr>
      <w:tc>
        <w:tcPr>
          <w:tcW w:w="3120" w:type="dxa"/>
        </w:tcPr>
        <w:p w:rsidR="22BA37E1" w:rsidP="22BA37E1" w:rsidRDefault="22BA37E1" w14:paraId="39539160" w14:textId="7314F477">
          <w:pPr>
            <w:pStyle w:val="Header"/>
            <w:ind w:left="-115"/>
          </w:pPr>
        </w:p>
      </w:tc>
      <w:tc>
        <w:tcPr>
          <w:tcW w:w="3120" w:type="dxa"/>
        </w:tcPr>
        <w:p w:rsidR="22BA37E1" w:rsidP="22BA37E1" w:rsidRDefault="22BA37E1" w14:paraId="33586F10" w14:textId="56643745">
          <w:pPr>
            <w:pStyle w:val="Header"/>
            <w:jc w:val="center"/>
          </w:pPr>
        </w:p>
      </w:tc>
      <w:tc>
        <w:tcPr>
          <w:tcW w:w="3120" w:type="dxa"/>
        </w:tcPr>
        <w:p w:rsidR="22BA37E1" w:rsidP="22BA37E1" w:rsidRDefault="22BA37E1" w14:paraId="276F9A5C" w14:textId="736D1511">
          <w:pPr>
            <w:pStyle w:val="Header"/>
            <w:ind w:right="-115"/>
            <w:jc w:val="right"/>
          </w:pPr>
        </w:p>
      </w:tc>
    </w:tr>
  </w:tbl>
  <w:p w:rsidR="22BA37E1" w:rsidP="22BA37E1" w:rsidRDefault="22BA37E1" w14:paraId="63837955" w14:textId="3980C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6027" w:rsidP="00177D1B" w:rsidRDefault="00816027" w14:paraId="067F53B2" w14:textId="77777777">
      <w:pPr>
        <w:spacing w:line="240" w:lineRule="auto"/>
      </w:pPr>
      <w:r>
        <w:separator/>
      </w:r>
    </w:p>
  </w:footnote>
  <w:footnote w:type="continuationSeparator" w:id="0">
    <w:p w:rsidR="00816027" w:rsidP="00177D1B" w:rsidRDefault="00816027" w14:paraId="5812FF6C" w14:textId="77777777">
      <w:pPr>
        <w:spacing w:line="240" w:lineRule="auto"/>
      </w:pPr>
      <w:r>
        <w:continuationSeparator/>
      </w:r>
    </w:p>
  </w:footnote>
  <w:footnote w:type="continuationNotice" w:id="1">
    <w:p w:rsidR="00816027" w:rsidRDefault="00816027" w14:paraId="326FA2F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rsidTr="22BA37E1" w14:paraId="31755D48" w14:textId="77777777">
      <w:trPr>
        <w:trHeight w:val="300"/>
      </w:trPr>
      <w:tc>
        <w:tcPr>
          <w:tcW w:w="3120" w:type="dxa"/>
        </w:tcPr>
        <w:p w:rsidR="22BA37E1" w:rsidP="22BA37E1" w:rsidRDefault="22BA37E1" w14:paraId="5584FEF6" w14:textId="6E8B6B15">
          <w:pPr>
            <w:pStyle w:val="Header"/>
            <w:ind w:left="-115"/>
          </w:pPr>
        </w:p>
      </w:tc>
      <w:tc>
        <w:tcPr>
          <w:tcW w:w="3120" w:type="dxa"/>
        </w:tcPr>
        <w:p w:rsidR="22BA37E1" w:rsidP="22BA37E1" w:rsidRDefault="22BA37E1" w14:paraId="68A04755" w14:textId="7EF79F74">
          <w:pPr>
            <w:pStyle w:val="Header"/>
            <w:jc w:val="center"/>
          </w:pPr>
        </w:p>
      </w:tc>
      <w:tc>
        <w:tcPr>
          <w:tcW w:w="3120" w:type="dxa"/>
        </w:tcPr>
        <w:p w:rsidR="22BA37E1" w:rsidP="22BA37E1" w:rsidRDefault="22BA37E1" w14:paraId="5052CDC5" w14:textId="63EF1AFF">
          <w:pPr>
            <w:pStyle w:val="Header"/>
            <w:ind w:right="-115"/>
            <w:jc w:val="right"/>
          </w:pPr>
        </w:p>
      </w:tc>
    </w:tr>
  </w:tbl>
  <w:p w:rsidR="22BA37E1" w:rsidP="22BA37E1" w:rsidRDefault="22BA37E1" w14:paraId="0A1077C4" w14:textId="082D4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77D1B" w:rsidRDefault="00177D1B" w14:paraId="556DDF61" w14:textId="74EAFC26">
    <w:pPr>
      <w:pStyle w:val="Header"/>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0782C"/>
    <w:rsid w:val="00040337"/>
    <w:rsid w:val="0004101A"/>
    <w:rsid w:val="000475D7"/>
    <w:rsid w:val="000577D6"/>
    <w:rsid w:val="00060140"/>
    <w:rsid w:val="0006156C"/>
    <w:rsid w:val="00063E0A"/>
    <w:rsid w:val="00076158"/>
    <w:rsid w:val="00083932"/>
    <w:rsid w:val="000857FB"/>
    <w:rsid w:val="000A118B"/>
    <w:rsid w:val="000A3E2E"/>
    <w:rsid w:val="000A7812"/>
    <w:rsid w:val="000D0B28"/>
    <w:rsid w:val="000D42A3"/>
    <w:rsid w:val="000E5F11"/>
    <w:rsid w:val="000F748C"/>
    <w:rsid w:val="00102844"/>
    <w:rsid w:val="00143934"/>
    <w:rsid w:val="00160874"/>
    <w:rsid w:val="00160C50"/>
    <w:rsid w:val="00177D1B"/>
    <w:rsid w:val="00197735"/>
    <w:rsid w:val="001A0F05"/>
    <w:rsid w:val="001B699D"/>
    <w:rsid w:val="001C6F46"/>
    <w:rsid w:val="001D33E8"/>
    <w:rsid w:val="0023651A"/>
    <w:rsid w:val="00247DEA"/>
    <w:rsid w:val="0026433B"/>
    <w:rsid w:val="0027531C"/>
    <w:rsid w:val="00287DE6"/>
    <w:rsid w:val="00291F80"/>
    <w:rsid w:val="002A4CFC"/>
    <w:rsid w:val="002A6D6B"/>
    <w:rsid w:val="002D02FF"/>
    <w:rsid w:val="002D6BAF"/>
    <w:rsid w:val="002F7617"/>
    <w:rsid w:val="00307223"/>
    <w:rsid w:val="00330349"/>
    <w:rsid w:val="003744D5"/>
    <w:rsid w:val="003B0B90"/>
    <w:rsid w:val="003C5E77"/>
    <w:rsid w:val="003D3D98"/>
    <w:rsid w:val="003F57F9"/>
    <w:rsid w:val="00435D42"/>
    <w:rsid w:val="00463566"/>
    <w:rsid w:val="00475E68"/>
    <w:rsid w:val="0048396C"/>
    <w:rsid w:val="00486172"/>
    <w:rsid w:val="00490867"/>
    <w:rsid w:val="00494A8D"/>
    <w:rsid w:val="004A18EA"/>
    <w:rsid w:val="004D6018"/>
    <w:rsid w:val="004D7DF6"/>
    <w:rsid w:val="004E2477"/>
    <w:rsid w:val="004E7FF9"/>
    <w:rsid w:val="005000E8"/>
    <w:rsid w:val="00533344"/>
    <w:rsid w:val="00562F2E"/>
    <w:rsid w:val="00567DE1"/>
    <w:rsid w:val="0057243E"/>
    <w:rsid w:val="005732F2"/>
    <w:rsid w:val="005B1FB6"/>
    <w:rsid w:val="00626D78"/>
    <w:rsid w:val="006442D8"/>
    <w:rsid w:val="00647762"/>
    <w:rsid w:val="006864FC"/>
    <w:rsid w:val="006B4B3C"/>
    <w:rsid w:val="006C2AD4"/>
    <w:rsid w:val="006D2FE5"/>
    <w:rsid w:val="006E3DFD"/>
    <w:rsid w:val="006F6259"/>
    <w:rsid w:val="007059AC"/>
    <w:rsid w:val="00705E14"/>
    <w:rsid w:val="00716020"/>
    <w:rsid w:val="00727C0F"/>
    <w:rsid w:val="007358AD"/>
    <w:rsid w:val="007434DF"/>
    <w:rsid w:val="00775308"/>
    <w:rsid w:val="00784251"/>
    <w:rsid w:val="00791284"/>
    <w:rsid w:val="00792521"/>
    <w:rsid w:val="0079490F"/>
    <w:rsid w:val="007961BE"/>
    <w:rsid w:val="007A7A62"/>
    <w:rsid w:val="007F37A4"/>
    <w:rsid w:val="007F6995"/>
    <w:rsid w:val="00816027"/>
    <w:rsid w:val="0082526F"/>
    <w:rsid w:val="0083162D"/>
    <w:rsid w:val="00854A88"/>
    <w:rsid w:val="00872887"/>
    <w:rsid w:val="00872915"/>
    <w:rsid w:val="00877765"/>
    <w:rsid w:val="008958C7"/>
    <w:rsid w:val="008959B5"/>
    <w:rsid w:val="008974E2"/>
    <w:rsid w:val="008A44ED"/>
    <w:rsid w:val="008A7104"/>
    <w:rsid w:val="008C2173"/>
    <w:rsid w:val="008C234B"/>
    <w:rsid w:val="008C2CFC"/>
    <w:rsid w:val="008D5DCC"/>
    <w:rsid w:val="00902B1C"/>
    <w:rsid w:val="00923223"/>
    <w:rsid w:val="009509E6"/>
    <w:rsid w:val="00960B65"/>
    <w:rsid w:val="00973689"/>
    <w:rsid w:val="0097556F"/>
    <w:rsid w:val="00992645"/>
    <w:rsid w:val="009B3A8C"/>
    <w:rsid w:val="009C1C0B"/>
    <w:rsid w:val="009C4FF6"/>
    <w:rsid w:val="009E2EC8"/>
    <w:rsid w:val="00A03395"/>
    <w:rsid w:val="00A123AD"/>
    <w:rsid w:val="00A20D0C"/>
    <w:rsid w:val="00A3165C"/>
    <w:rsid w:val="00A3BED4"/>
    <w:rsid w:val="00A6518C"/>
    <w:rsid w:val="00AB1E45"/>
    <w:rsid w:val="00AB4088"/>
    <w:rsid w:val="00AB6A4A"/>
    <w:rsid w:val="00AF46B4"/>
    <w:rsid w:val="00AF7079"/>
    <w:rsid w:val="00B43D6A"/>
    <w:rsid w:val="00B776C2"/>
    <w:rsid w:val="00B806CB"/>
    <w:rsid w:val="00B829B5"/>
    <w:rsid w:val="00B90A02"/>
    <w:rsid w:val="00B90BE4"/>
    <w:rsid w:val="00B936CD"/>
    <w:rsid w:val="00BA3E83"/>
    <w:rsid w:val="00BC0693"/>
    <w:rsid w:val="00BC1E8E"/>
    <w:rsid w:val="00BF2ECC"/>
    <w:rsid w:val="00BF719A"/>
    <w:rsid w:val="00C04C8A"/>
    <w:rsid w:val="00C17DB7"/>
    <w:rsid w:val="00C30F14"/>
    <w:rsid w:val="00C375EC"/>
    <w:rsid w:val="00C467FB"/>
    <w:rsid w:val="00C751D2"/>
    <w:rsid w:val="00C80A43"/>
    <w:rsid w:val="00CA3393"/>
    <w:rsid w:val="00CB091D"/>
    <w:rsid w:val="00CB2234"/>
    <w:rsid w:val="00CD0187"/>
    <w:rsid w:val="00CE49D6"/>
    <w:rsid w:val="00CE7273"/>
    <w:rsid w:val="00D037D7"/>
    <w:rsid w:val="00D03E91"/>
    <w:rsid w:val="00D15D83"/>
    <w:rsid w:val="00D2AC9C"/>
    <w:rsid w:val="00D36207"/>
    <w:rsid w:val="00D65B6B"/>
    <w:rsid w:val="00D71112"/>
    <w:rsid w:val="00D776D8"/>
    <w:rsid w:val="00D97918"/>
    <w:rsid w:val="00DC1332"/>
    <w:rsid w:val="00DC7DFF"/>
    <w:rsid w:val="00DD740D"/>
    <w:rsid w:val="00DE7DE3"/>
    <w:rsid w:val="00DF779E"/>
    <w:rsid w:val="00E179AC"/>
    <w:rsid w:val="00E21379"/>
    <w:rsid w:val="00E23091"/>
    <w:rsid w:val="00E44259"/>
    <w:rsid w:val="00EB448E"/>
    <w:rsid w:val="00EC4E0F"/>
    <w:rsid w:val="00EC5A23"/>
    <w:rsid w:val="00EF39F5"/>
    <w:rsid w:val="00F170D6"/>
    <w:rsid w:val="00F20660"/>
    <w:rsid w:val="00F23F00"/>
    <w:rsid w:val="00F5088C"/>
    <w:rsid w:val="00F7911D"/>
    <w:rsid w:val="00F82F92"/>
    <w:rsid w:val="00FA1567"/>
    <w:rsid w:val="00FA5682"/>
    <w:rsid w:val="00FC06F8"/>
    <w:rsid w:val="00FC475A"/>
    <w:rsid w:val="00FD4C96"/>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8C34C6"/>
    <w:rsid w:val="0F919726"/>
    <w:rsid w:val="0FBEB9E3"/>
    <w:rsid w:val="0FE5C8C4"/>
    <w:rsid w:val="102350C3"/>
    <w:rsid w:val="102C7354"/>
    <w:rsid w:val="14879E46"/>
    <w:rsid w:val="15B61CDC"/>
    <w:rsid w:val="15D4BA2D"/>
    <w:rsid w:val="15F07CD8"/>
    <w:rsid w:val="162A5F89"/>
    <w:rsid w:val="16514ADC"/>
    <w:rsid w:val="16C6E989"/>
    <w:rsid w:val="1748CD3B"/>
    <w:rsid w:val="1830D0EF"/>
    <w:rsid w:val="183685B6"/>
    <w:rsid w:val="185CE604"/>
    <w:rsid w:val="1899B23A"/>
    <w:rsid w:val="18A87E0F"/>
    <w:rsid w:val="193CD0F9"/>
    <w:rsid w:val="1968C95F"/>
    <w:rsid w:val="19FC4C7F"/>
    <w:rsid w:val="1A4417B7"/>
    <w:rsid w:val="1ABA9FAF"/>
    <w:rsid w:val="1BB31D67"/>
    <w:rsid w:val="1C5B47CC"/>
    <w:rsid w:val="1CC9B38F"/>
    <w:rsid w:val="1E059F07"/>
    <w:rsid w:val="1ECC6BC8"/>
    <w:rsid w:val="1F0422F4"/>
    <w:rsid w:val="1F27C6AC"/>
    <w:rsid w:val="1F7EF32F"/>
    <w:rsid w:val="2003DA14"/>
    <w:rsid w:val="20D41432"/>
    <w:rsid w:val="2115476F"/>
    <w:rsid w:val="21803A03"/>
    <w:rsid w:val="229E7E37"/>
    <w:rsid w:val="22BA37E1"/>
    <w:rsid w:val="232AA5DD"/>
    <w:rsid w:val="2334743F"/>
    <w:rsid w:val="237DB418"/>
    <w:rsid w:val="23947793"/>
    <w:rsid w:val="23D00FFD"/>
    <w:rsid w:val="248763A8"/>
    <w:rsid w:val="254AB02A"/>
    <w:rsid w:val="262ECC19"/>
    <w:rsid w:val="26785EBB"/>
    <w:rsid w:val="275F3F47"/>
    <w:rsid w:val="27FA9642"/>
    <w:rsid w:val="2818C62A"/>
    <w:rsid w:val="28CEC370"/>
    <w:rsid w:val="28E6800D"/>
    <w:rsid w:val="29C59F8C"/>
    <w:rsid w:val="29DF69B4"/>
    <w:rsid w:val="2AE8256E"/>
    <w:rsid w:val="2B065E43"/>
    <w:rsid w:val="2DF78213"/>
    <w:rsid w:val="2E18151D"/>
    <w:rsid w:val="2E8B6165"/>
    <w:rsid w:val="2F75C5DE"/>
    <w:rsid w:val="2FFD6126"/>
    <w:rsid w:val="314FB5DF"/>
    <w:rsid w:val="324B94E3"/>
    <w:rsid w:val="333A1511"/>
    <w:rsid w:val="33555969"/>
    <w:rsid w:val="33B48373"/>
    <w:rsid w:val="343B7FBA"/>
    <w:rsid w:val="34F63693"/>
    <w:rsid w:val="3583DE32"/>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414AEE"/>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CD2DD95"/>
    <w:rsid w:val="4D0E207A"/>
    <w:rsid w:val="4D1236D9"/>
    <w:rsid w:val="4D4B8727"/>
    <w:rsid w:val="4D5E36FD"/>
    <w:rsid w:val="4E649EA9"/>
    <w:rsid w:val="4E76C210"/>
    <w:rsid w:val="4EC3D9DC"/>
    <w:rsid w:val="4F30218A"/>
    <w:rsid w:val="4F6A4825"/>
    <w:rsid w:val="4FA551D4"/>
    <w:rsid w:val="504EFA05"/>
    <w:rsid w:val="50B82E50"/>
    <w:rsid w:val="51668B15"/>
    <w:rsid w:val="5173D475"/>
    <w:rsid w:val="52B0505A"/>
    <w:rsid w:val="52EDDE50"/>
    <w:rsid w:val="536848B6"/>
    <w:rsid w:val="536DD49E"/>
    <w:rsid w:val="53974AFF"/>
    <w:rsid w:val="5430A01E"/>
    <w:rsid w:val="54391D01"/>
    <w:rsid w:val="54BF1886"/>
    <w:rsid w:val="54DD3802"/>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DE33340"/>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CCAD1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1DBD6EB7-8924-4681-8CEA-97A9C63C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paragraph" w:customStyle="1">
    <w:name w:val="paragraph"/>
    <w:basedOn w:val="Normal"/>
    <w:rsid w:val="00177D1B"/>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177D1B"/>
  </w:style>
  <w:style w:type="character" w:styleId="tabchar" w:customStyle="1">
    <w:name w:val="tabchar"/>
    <w:basedOn w:val="DefaultParagraphFont"/>
    <w:rsid w:val="00177D1B"/>
  </w:style>
  <w:style w:type="character" w:styleId="eop" w:customStyle="1">
    <w:name w:val="eop"/>
    <w:basedOn w:val="DefaultParagraphFont"/>
    <w:rsid w:val="00177D1B"/>
  </w:style>
  <w:style w:type="paragraph" w:styleId="Header">
    <w:name w:val="header"/>
    <w:basedOn w:val="Normal"/>
    <w:link w:val="HeaderChar"/>
    <w:uiPriority w:val="99"/>
    <w:unhideWhenUsed/>
    <w:rsid w:val="00177D1B"/>
    <w:pPr>
      <w:tabs>
        <w:tab w:val="center" w:pos="4703"/>
        <w:tab w:val="right" w:pos="9406"/>
      </w:tabs>
      <w:spacing w:line="240" w:lineRule="auto"/>
    </w:pPr>
  </w:style>
  <w:style w:type="character" w:styleId="HeaderChar" w:customStyle="1">
    <w:name w:val="Header Char"/>
    <w:basedOn w:val="DefaultParagraphFont"/>
    <w:link w:val="Header"/>
    <w:uiPriority w:val="99"/>
    <w:rsid w:val="00177D1B"/>
  </w:style>
  <w:style w:type="paragraph" w:styleId="Footer">
    <w:name w:val="footer"/>
    <w:basedOn w:val="Normal"/>
    <w:link w:val="FooterChar"/>
    <w:uiPriority w:val="99"/>
    <w:unhideWhenUsed/>
    <w:rsid w:val="00177D1B"/>
    <w:pPr>
      <w:tabs>
        <w:tab w:val="center" w:pos="4703"/>
        <w:tab w:val="right" w:pos="9406"/>
      </w:tabs>
      <w:spacing w:line="240" w:lineRule="auto"/>
    </w:pPr>
  </w:style>
  <w:style w:type="character" w:styleId="FooterChar" w:customStyle="1">
    <w:name w:val="Footer Char"/>
    <w:basedOn w:val="DefaultParagraphFont"/>
    <w:link w:val="Footer"/>
    <w:uiPriority w:val="99"/>
    <w:rsid w:val="00177D1B"/>
  </w:style>
  <w:style w:type="character" w:styleId="wacimagecontainer" w:customStyle="1">
    <w:name w:val="wacimagecontainer"/>
    <w:basedOn w:val="DefaultParagraphFont"/>
    <w:rsid w:val="00177D1B"/>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72915"/>
    <w:pPr>
      <w:spacing w:line="240" w:lineRule="auto"/>
    </w:pPr>
  </w:style>
  <w:style w:type="paragraph" w:styleId="CommentSubject">
    <w:name w:val="annotation subject"/>
    <w:basedOn w:val="CommentText"/>
    <w:next w:val="CommentText"/>
    <w:link w:val="CommentSubjectChar"/>
    <w:uiPriority w:val="99"/>
    <w:semiHidden/>
    <w:unhideWhenUsed/>
    <w:rsid w:val="00872915"/>
    <w:rPr>
      <w:b/>
      <w:bCs/>
    </w:rPr>
  </w:style>
  <w:style w:type="character" w:styleId="CommentSubjectChar" w:customStyle="1">
    <w:name w:val="Comment Subject Char"/>
    <w:basedOn w:val="CommentTextChar"/>
    <w:link w:val="CommentSubject"/>
    <w:uiPriority w:val="99"/>
    <w:semiHidden/>
    <w:rsid w:val="00872915"/>
    <w:rPr>
      <w:b/>
      <w:bCs/>
      <w:sz w:val="20"/>
      <w:szCs w:val="20"/>
    </w:rPr>
  </w:style>
  <w:style w:type="paragraph" w:styleId="ListParagraph">
    <w:name w:val="List Paragraph"/>
    <w:basedOn w:val="Normal"/>
    <w:uiPriority w:val="34"/>
    <w:qFormat/>
    <w:rsid w:val="00872915"/>
    <w:pPr>
      <w:ind w:left="720"/>
      <w:contextualSpacing/>
    </w:pPr>
  </w:style>
  <w:style w:type="paragraph" w:styleId="NormalWeb">
    <w:name w:val="Normal (Web)"/>
    <w:basedOn w:val="Normal"/>
    <w:uiPriority w:val="99"/>
    <w:semiHidden/>
    <w:unhideWhenUsed/>
    <w:rsid w:val="00C375EC"/>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unhideWhenUsed/>
    <w:rsid w:val="003B0B90"/>
    <w:rPr>
      <w:color w:val="0000FF" w:themeColor="hyperlink"/>
      <w:u w:val="single"/>
    </w:rPr>
  </w:style>
  <w:style w:type="character" w:styleId="UnresolvedMention">
    <w:name w:val="Unresolved Mention"/>
    <w:basedOn w:val="DefaultParagraphFont"/>
    <w:uiPriority w:val="99"/>
    <w:semiHidden/>
    <w:unhideWhenUsed/>
    <w:rsid w:val="003B0B90"/>
    <w:rPr>
      <w:color w:val="605E5C"/>
      <w:shd w:val="clear" w:color="auto" w:fill="E1DFDD"/>
    </w:rPr>
  </w:style>
  <w:style w:type="paragraph" w:styleId="BoilerPlate" w:customStyle="1">
    <w:name w:val="Boiler Plate"/>
    <w:basedOn w:val="Normal"/>
    <w:qFormat/>
    <w:rsid w:val="00C80A43"/>
    <w:pPr>
      <w:spacing w:line="336" w:lineRule="auto"/>
    </w:pPr>
    <w:rPr>
      <w:rFonts w:eastAsia="Times New Roman"/>
      <w:sz w:val="20"/>
      <w:szCs w:val="20"/>
      <w:lang w:val="en-GB" w:eastAsia="de-DE"/>
    </w:rPr>
  </w:style>
  <w:style w:type="character" w:styleId="FollowedHyperlink">
    <w:name w:val="FollowedHyperlink"/>
    <w:basedOn w:val="DefaultParagraphFont"/>
    <w:uiPriority w:val="99"/>
    <w:semiHidden/>
    <w:unhideWhenUsed/>
    <w:rsid w:val="001439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footnotes" Target="footnote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footer" Target="footer2.xml" Id="rId19" /><Relationship Type="http://schemas.openxmlformats.org/officeDocument/2006/relationships/styles" Target="styles.xml" Id="rId4" /><Relationship Type="http://schemas.openxmlformats.org/officeDocument/2006/relationships/hyperlink" Target="https://epg.com/us/supply-chain-solutions/?utm_source=epg&amp;utm_medium=press_release&amp;utm_campaign=gartner_mq_wms_2026" TargetMode="External" Id="R116637f89b194c2a" /><Relationship Type="http://schemas.openxmlformats.org/officeDocument/2006/relationships/hyperlink" Target="https://epg.com/us/aura/?utm_source=epg&amp;utm_medium=press_release&amp;utm_campaign=gartner_mq_wms_2026" TargetMode="External" Id="R0f784e78f6c549d0" /><Relationship Type="http://schemas.openxmlformats.org/officeDocument/2006/relationships/hyperlink" Target="https://epg.com/us/logistics-expertise/gartner-reports/?utm_source=epg&amp;utm_medium=press_release&amp;utm_campaign=gartner_mq_wms_2026" TargetMode="External" Id="Rad2b9d72f852418c" /><Relationship Type="http://schemas.openxmlformats.org/officeDocument/2006/relationships/hyperlink" Target="https://epg.com/us/?utm_source=epg&amp;utm_medium=press_release&amp;utm_campaign=gartner_mq_wms_2026" TargetMode="External" Id="Rf61248ffe0d44586" /><Relationship Type="http://schemas.openxmlformats.org/officeDocument/2006/relationships/hyperlink" Target="https://epg.com/us/?utm_source=epg&amp;utm_medium=press_release&amp;utm_campaign=gartner_mq_wms_2026" TargetMode="External" Id="R7e86b9151c62491e"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FCA0AA42-1668-4447-A6BE-3E5504F522FB}">
  <ds:schemaRefs>
    <ds:schemaRef ds:uri="http://schemas.microsoft.com/sharepoint/v3/contenttype/forms"/>
  </ds:schemaRefs>
</ds:datastoreItem>
</file>

<file path=customXml/itemProps3.xml><?xml version="1.0" encoding="utf-8"?>
<ds:datastoreItem xmlns:ds="http://schemas.openxmlformats.org/officeDocument/2006/customXml" ds:itemID="{6A5E55F7-89C8-41CE-964B-5C5A8F966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Riemschneider, Thor</dc:creator>
  <keywords/>
  <lastModifiedBy>Moran, Elena</lastModifiedBy>
  <revision>3</revision>
  <dcterms:created xsi:type="dcterms:W3CDTF">2026-04-30T08:54:00.0000000Z</dcterms:created>
  <dcterms:modified xsi:type="dcterms:W3CDTF">2026-05-04T13:05:03.0825300Z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