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ABEFA" w14:textId="77777777" w:rsidR="004F5ADA" w:rsidRPr="00703320" w:rsidRDefault="004F5ADA" w:rsidP="004F5ADA">
      <w:pPr>
        <w:spacing w:line="360" w:lineRule="auto"/>
        <w:jc w:val="center"/>
        <w:rPr>
          <w:b/>
          <w:bCs/>
          <w:sz w:val="32"/>
          <w:szCs w:val="32"/>
        </w:rPr>
      </w:pPr>
      <w:r w:rsidRPr="004F5ADA">
        <w:rPr>
          <w:b/>
          <w:bCs/>
          <w:lang w:val="en-US"/>
        </w:rPr>
        <w:t>The Generative and Agentic AI Era of Logistics</w:t>
      </w:r>
      <w:r w:rsidRPr="004F5ADA">
        <w:rPr>
          <w:b/>
          <w:bCs/>
          <w:lang w:val="en-US"/>
        </w:rPr>
        <w:br/>
      </w:r>
      <w:r w:rsidRPr="00703320">
        <w:rPr>
          <w:b/>
          <w:bCs/>
          <w:sz w:val="32"/>
          <w:szCs w:val="32"/>
        </w:rPr>
        <w:t xml:space="preserve">EPG AURA™ – World Premiere at </w:t>
      </w:r>
      <w:proofErr w:type="spellStart"/>
      <w:r w:rsidRPr="00703320">
        <w:rPr>
          <w:b/>
          <w:bCs/>
          <w:sz w:val="32"/>
          <w:szCs w:val="32"/>
        </w:rPr>
        <w:t>LogiMAT</w:t>
      </w:r>
      <w:proofErr w:type="spellEnd"/>
      <w:r w:rsidRPr="00703320">
        <w:rPr>
          <w:b/>
          <w:bCs/>
          <w:sz w:val="32"/>
          <w:szCs w:val="32"/>
        </w:rPr>
        <w:t xml:space="preserve"> 2026</w:t>
      </w:r>
    </w:p>
    <w:p w14:paraId="1E6D5F21" w14:textId="77777777" w:rsidR="004F5ADA" w:rsidRPr="004F5ADA" w:rsidRDefault="004F5ADA" w:rsidP="00703320">
      <w:pPr>
        <w:spacing w:line="360" w:lineRule="auto"/>
        <w:rPr>
          <w:b/>
          <w:bCs/>
          <w:lang w:val="en-US"/>
        </w:rPr>
      </w:pPr>
      <w:r w:rsidRPr="004F5ADA">
        <w:rPr>
          <w:b/>
          <w:bCs/>
          <w:lang w:val="en-US"/>
        </w:rPr>
        <w:t xml:space="preserve">Operational and strategic excellence no longer </w:t>
      </w:r>
      <w:proofErr w:type="gramStart"/>
      <w:r w:rsidRPr="004F5ADA">
        <w:rPr>
          <w:b/>
          <w:bCs/>
          <w:lang w:val="en-US"/>
        </w:rPr>
        <w:t>result</w:t>
      </w:r>
      <w:proofErr w:type="gramEnd"/>
      <w:r w:rsidRPr="004F5ADA">
        <w:rPr>
          <w:b/>
          <w:bCs/>
          <w:lang w:val="en-US"/>
        </w:rPr>
        <w:t xml:space="preserve"> from rigid processes or isolated systems, but from intelligent, situation-aware decisions made in real time. Mastering logistics today means not only deciding </w:t>
      </w:r>
      <w:proofErr w:type="gramStart"/>
      <w:r w:rsidRPr="004F5ADA">
        <w:rPr>
          <w:b/>
          <w:bCs/>
          <w:lang w:val="en-US"/>
        </w:rPr>
        <w:t>faster, but</w:t>
      </w:r>
      <w:proofErr w:type="gramEnd"/>
      <w:r w:rsidRPr="004F5ADA">
        <w:rPr>
          <w:b/>
          <w:bCs/>
          <w:lang w:val="en-US"/>
        </w:rPr>
        <w:t xml:space="preserve"> deciding better. This is exactly where the Ehrhardt Partner Group (EPG) comes in. At </w:t>
      </w:r>
      <w:proofErr w:type="spellStart"/>
      <w:r w:rsidRPr="004F5ADA">
        <w:rPr>
          <w:b/>
          <w:bCs/>
          <w:lang w:val="en-US"/>
        </w:rPr>
        <w:t>LogiMAT</w:t>
      </w:r>
      <w:proofErr w:type="spellEnd"/>
      <w:r w:rsidRPr="004F5ADA">
        <w:rPr>
          <w:b/>
          <w:bCs/>
          <w:lang w:val="en-US"/>
        </w:rPr>
        <w:t xml:space="preserve"> 2026 (Hall 4, Booth 4A71), EPG will present EPG AURA™ for the first time, its new AI-driven supply chain execution environment. AURA redefines the generative and agentic AI era in supply chain execution and forms the technological backbone of the next stage in the evolution of the EPG ONE Suite. In close collaboration with technology partner NVIDIA, EPG is driving the transformation toward an open, intelligent ecosystem for AI-powered supply chains.</w:t>
      </w:r>
    </w:p>
    <w:p w14:paraId="3C98CA75" w14:textId="66B32016" w:rsidR="00703320" w:rsidRPr="00703320" w:rsidRDefault="00703320" w:rsidP="00703320">
      <w:pPr>
        <w:spacing w:line="360" w:lineRule="auto"/>
        <w:rPr>
          <w:lang w:val="en-US"/>
        </w:rPr>
      </w:pPr>
      <w:r w:rsidRPr="00703320">
        <w:rPr>
          <w:lang w:val="en-US"/>
        </w:rPr>
        <w:t xml:space="preserve">With EPG AURA™, EPG fundamentally shifts the boundaries of traditional supply chain execution. AURA is not merely an extension of existing EPG systems, but a modern generative and agent-based AI environment that actively prepares, evaluates, and steers operational decisions. It adds an intelligent layer to the EPG ONE Suite that not only maps </w:t>
      </w:r>
      <w:proofErr w:type="gramStart"/>
      <w:r w:rsidRPr="00703320">
        <w:rPr>
          <w:lang w:val="en-US"/>
        </w:rPr>
        <w:t>processes, but</w:t>
      </w:r>
      <w:proofErr w:type="gramEnd"/>
      <w:r w:rsidRPr="00703320">
        <w:rPr>
          <w:lang w:val="en-US"/>
        </w:rPr>
        <w:t xml:space="preserve"> understands their dynamics and influences them in a targeted way. The goal </w:t>
      </w:r>
      <w:proofErr w:type="gramStart"/>
      <w:r w:rsidRPr="00703320">
        <w:rPr>
          <w:lang w:val="en-US"/>
        </w:rPr>
        <w:t>is</w:t>
      </w:r>
      <w:proofErr w:type="gramEnd"/>
      <w:r w:rsidRPr="00703320">
        <w:rPr>
          <w:lang w:val="en-US"/>
        </w:rPr>
        <w:t xml:space="preserve"> a clear paradigm shift, away from reactive process execution and toward intelligent, predictive control. Planning, execution, and optimization seamlessly interlock to form a continuous cycle of analysis, decision-making, and execution. EPG AURA brings intelligence to where it creates the greatest leverage: the strategic and operational decision layer. The environment connects real-time data from warehousing, transportation, and automation, identifies patterns, evaluates dependencies, and makes the impact of operational decisions transparent.</w:t>
      </w:r>
      <w:r>
        <w:rPr>
          <w:lang w:val="en-US"/>
        </w:rPr>
        <w:t xml:space="preserve"> </w:t>
      </w:r>
      <w:r w:rsidRPr="00703320">
        <w:rPr>
          <w:lang w:val="en-US"/>
        </w:rPr>
        <w:t>Specialized AI agents analyze ongoing situations, simulate scenarios, identify risks at an early stage, and derive prioritized actions and optimization measures. These are integrated directly into existing execution processes.</w:t>
      </w:r>
      <w:r>
        <w:rPr>
          <w:lang w:val="en-US"/>
        </w:rPr>
        <w:t xml:space="preserve"> </w:t>
      </w:r>
      <w:r w:rsidRPr="00703320">
        <w:rPr>
          <w:lang w:val="en-US"/>
        </w:rPr>
        <w:t>Data becomes context. Complexity becomes clarity. Reaction becomes active control. This enables companies to make sound decisions even under high time pressure and to manage their supply chains in a targeted, stable, and resilient manner.</w:t>
      </w:r>
    </w:p>
    <w:p w14:paraId="76FC1C9F" w14:textId="77777777" w:rsidR="00D0492F" w:rsidRDefault="00D0492F" w:rsidP="004D0D98">
      <w:pPr>
        <w:spacing w:line="360" w:lineRule="auto"/>
        <w:jc w:val="center"/>
        <w:rPr>
          <w:b/>
          <w:bCs/>
          <w:lang w:val="en-US"/>
        </w:rPr>
      </w:pPr>
    </w:p>
    <w:p w14:paraId="597C576D" w14:textId="77777777" w:rsidR="00377D13" w:rsidRPr="00377D13" w:rsidRDefault="00377D13" w:rsidP="00377D13">
      <w:pPr>
        <w:spacing w:line="360" w:lineRule="auto"/>
        <w:rPr>
          <w:b/>
          <w:bCs/>
          <w:lang w:val="en-US"/>
        </w:rPr>
      </w:pPr>
      <w:r w:rsidRPr="00377D13">
        <w:rPr>
          <w:b/>
          <w:bCs/>
          <w:lang w:val="en-US"/>
        </w:rPr>
        <w:t>Operational AI – Available Today, Not Tomorrow</w:t>
      </w:r>
    </w:p>
    <w:p w14:paraId="1232DA2D" w14:textId="77777777" w:rsidR="00377D13" w:rsidRPr="00377D13" w:rsidRDefault="00377D13" w:rsidP="00377D13">
      <w:pPr>
        <w:spacing w:line="360" w:lineRule="auto"/>
        <w:rPr>
          <w:lang w:val="en-US"/>
        </w:rPr>
      </w:pPr>
      <w:r w:rsidRPr="00377D13">
        <w:rPr>
          <w:lang w:val="en-US"/>
        </w:rPr>
        <w:t>EPG AURA already includes AI capabilities that are ready for use in live operations. These include context-based evaluation of order priorities, analysis of bottlenecks and deviations, assessment of alternative process options, and AI-supported calculations for the optimal use of packing, loading, and transportation capacities. In addition, EPG AURA enables text and voice interaction for direct access to operational information as well as for triggering and coordinating follow-up actions during ongoing operations. By condensing relevant information and directly linking analysis with execution, AURA shortens decision and response times and helps logistics managers control operations faster, more consistently, and with greater stability.</w:t>
      </w:r>
    </w:p>
    <w:p w14:paraId="121FA81E" w14:textId="77777777" w:rsidR="00377D13" w:rsidRDefault="00377D13" w:rsidP="00377D13">
      <w:pPr>
        <w:spacing w:line="360" w:lineRule="auto"/>
        <w:rPr>
          <w:lang w:val="en-US"/>
        </w:rPr>
      </w:pPr>
    </w:p>
    <w:p w14:paraId="4E10DAFC" w14:textId="77777777" w:rsidR="00377D13" w:rsidRPr="00377D13" w:rsidRDefault="00377D13" w:rsidP="00377D13">
      <w:pPr>
        <w:spacing w:line="360" w:lineRule="auto"/>
        <w:rPr>
          <w:lang w:val="en-US"/>
        </w:rPr>
      </w:pPr>
      <w:r w:rsidRPr="00377D13">
        <w:rPr>
          <w:b/>
          <w:bCs/>
          <w:lang w:val="en-US"/>
        </w:rPr>
        <w:t>Frontier AI for Logistics: Collaboration with NVIDIA</w:t>
      </w:r>
    </w:p>
    <w:p w14:paraId="6125DC27" w14:textId="45B98565" w:rsidR="00377D13" w:rsidRDefault="00377D13" w:rsidP="00377D13">
      <w:pPr>
        <w:spacing w:line="360" w:lineRule="auto"/>
        <w:rPr>
          <w:lang w:val="en-US"/>
        </w:rPr>
      </w:pPr>
      <w:r w:rsidRPr="00377D13">
        <w:rPr>
          <w:lang w:val="en-US"/>
        </w:rPr>
        <w:t>In parallel with the introduction of EPG AURA, EPG is further deepening its collaboration with NVIDIA to embed artificial intelligence deeply into operational logistics processes. The foundation is the combination of NVIDIA AI infrastructure, the NVIDIA Metropolis vision AI framework, and EPG’s decades of logistics expertise.</w:t>
      </w:r>
      <w:r w:rsidR="000A1801">
        <w:rPr>
          <w:lang w:val="en-US"/>
        </w:rPr>
        <w:t xml:space="preserve"> </w:t>
      </w:r>
      <w:r w:rsidRPr="00377D13">
        <w:rPr>
          <w:lang w:val="en-US"/>
        </w:rPr>
        <w:t xml:space="preserve">A particular focus is placed on the visual analysis of logistics processes. Using NVIDIA </w:t>
      </w:r>
      <w:proofErr w:type="spellStart"/>
      <w:r w:rsidRPr="00377D13">
        <w:rPr>
          <w:lang w:val="en-US"/>
        </w:rPr>
        <w:t>DeepStream</w:t>
      </w:r>
      <w:proofErr w:type="spellEnd"/>
      <w:r w:rsidRPr="00377D13">
        <w:rPr>
          <w:lang w:val="en-US"/>
        </w:rPr>
        <w:t>, a real-time streaming analytics toolkit within NVIDIA Metropolis, camera data from logistics environments is analyzed in real time. Events are not only detected, but contextualized, placed into correlations, and evaluated predictively. This creates a new level of transparency and decision support for operations, far beyond traditional status reporting.</w:t>
      </w:r>
    </w:p>
    <w:p w14:paraId="58D4623C" w14:textId="77777777" w:rsidR="000A1801" w:rsidRPr="00377D13" w:rsidRDefault="000A1801" w:rsidP="00377D13">
      <w:pPr>
        <w:spacing w:line="360" w:lineRule="auto"/>
        <w:rPr>
          <w:lang w:val="en-US"/>
        </w:rPr>
      </w:pPr>
    </w:p>
    <w:p w14:paraId="1D5B68BC" w14:textId="77777777" w:rsidR="000A1801" w:rsidRPr="000A1801" w:rsidRDefault="000A1801" w:rsidP="000A1801">
      <w:pPr>
        <w:spacing w:line="360" w:lineRule="auto"/>
        <w:rPr>
          <w:lang w:val="en-US"/>
        </w:rPr>
      </w:pPr>
      <w:r w:rsidRPr="000A1801">
        <w:rPr>
          <w:b/>
          <w:bCs/>
          <w:lang w:val="en-US"/>
        </w:rPr>
        <w:t>Automated Logistics Under Real-World Conditions</w:t>
      </w:r>
    </w:p>
    <w:p w14:paraId="0AFBBE30" w14:textId="77777777" w:rsidR="000A1801" w:rsidRDefault="000A1801" w:rsidP="000A1801">
      <w:pPr>
        <w:spacing w:line="360" w:lineRule="auto"/>
        <w:rPr>
          <w:lang w:val="en-US"/>
        </w:rPr>
      </w:pPr>
      <w:r w:rsidRPr="000A1801">
        <w:rPr>
          <w:lang w:val="en-US"/>
        </w:rPr>
        <w:t xml:space="preserve">Automation will remain a key focus area for EPG in 2026 and will gain further importance in combination with AI. In modern logistics environments, a wide range of material flow components, conveyor technologies, shuttle systems, mobile robotics, and manual processes converge. The challenge lies less in individual systems than in the stable, end-to-end control of the overall environment. EPG has many years of experience in the software-side integration and orchestration of automated logistics environments. Different automation technologies are connected independently of manufacturers and integrated into </w:t>
      </w:r>
      <w:proofErr w:type="gramStart"/>
      <w:r w:rsidRPr="000A1801">
        <w:rPr>
          <w:lang w:val="en-US"/>
        </w:rPr>
        <w:t>a unified</w:t>
      </w:r>
      <w:proofErr w:type="gramEnd"/>
      <w:r w:rsidRPr="000A1801">
        <w:rPr>
          <w:lang w:val="en-US"/>
        </w:rPr>
        <w:t xml:space="preserve"> control logic. </w:t>
      </w:r>
    </w:p>
    <w:p w14:paraId="225DE29D" w14:textId="77777777" w:rsidR="000A1801" w:rsidRDefault="000A1801" w:rsidP="000A1801">
      <w:pPr>
        <w:spacing w:line="360" w:lineRule="auto"/>
        <w:rPr>
          <w:lang w:val="en-US"/>
        </w:rPr>
      </w:pPr>
    </w:p>
    <w:p w14:paraId="2E05A1EF" w14:textId="76BBEC1C" w:rsidR="000A1801" w:rsidRPr="000A1801" w:rsidRDefault="000A1801" w:rsidP="000A1801">
      <w:pPr>
        <w:spacing w:line="360" w:lineRule="auto"/>
        <w:rPr>
          <w:lang w:val="en-US"/>
        </w:rPr>
      </w:pPr>
      <w:r w:rsidRPr="000A1801">
        <w:rPr>
          <w:lang w:val="en-US"/>
        </w:rPr>
        <w:t>Material flows can be centrally coordinated, priorities dynamically adjusted, and process states monitored transparently. This creates a robust foundation for stable operations even at high throughput levels and under changing conditions.</w:t>
      </w:r>
      <w:r>
        <w:rPr>
          <w:lang w:val="en-US"/>
        </w:rPr>
        <w:t xml:space="preserve"> </w:t>
      </w:r>
      <w:r w:rsidRPr="000A1801">
        <w:rPr>
          <w:lang w:val="en-US"/>
        </w:rPr>
        <w:t>The further development of existing facilities plays a particularly important role. In brownfield and retrofit scenarios, EPG supports companies in modernizing existing automation step by step and integrating new technologies into live operations. At the same time, the approach offers the necessary scalability for greenfield projects with a high degree of automation. Automation is thus understood as a dynamic system that continuously evolves as requirements increase.</w:t>
      </w:r>
    </w:p>
    <w:p w14:paraId="14CCD68C" w14:textId="77777777" w:rsidR="00511E91" w:rsidRDefault="00511E91" w:rsidP="00511E91">
      <w:pPr>
        <w:spacing w:line="360" w:lineRule="auto"/>
        <w:rPr>
          <w:lang w:val="en-US"/>
        </w:rPr>
      </w:pPr>
    </w:p>
    <w:p w14:paraId="1DBD440E" w14:textId="5121B295" w:rsidR="00511E91" w:rsidRPr="00511E91" w:rsidRDefault="00511E91" w:rsidP="00511E91">
      <w:pPr>
        <w:spacing w:line="360" w:lineRule="auto"/>
        <w:rPr>
          <w:b/>
          <w:bCs/>
          <w:lang w:val="en-US"/>
        </w:rPr>
      </w:pPr>
      <w:r w:rsidRPr="00511E91">
        <w:rPr>
          <w:b/>
          <w:bCs/>
          <w:lang w:val="en-US"/>
        </w:rPr>
        <w:t>The Operational Foundation at the Booth</w:t>
      </w:r>
    </w:p>
    <w:p w14:paraId="00E89F23" w14:textId="77777777" w:rsidR="00511E91" w:rsidRPr="00511E91" w:rsidRDefault="00511E91" w:rsidP="00511E91">
      <w:pPr>
        <w:spacing w:line="360" w:lineRule="auto"/>
        <w:rPr>
          <w:lang w:val="en-US"/>
        </w:rPr>
      </w:pPr>
      <w:r w:rsidRPr="00511E91">
        <w:rPr>
          <w:lang w:val="en-US"/>
        </w:rPr>
        <w:t xml:space="preserve">In addition to its focus on EPG AURA, artificial intelligence, and automation, EPG will also present its established portfolio of the EPG ONE supply chain execution suite at </w:t>
      </w:r>
      <w:proofErr w:type="spellStart"/>
      <w:r w:rsidRPr="00511E91">
        <w:rPr>
          <w:lang w:val="en-US"/>
        </w:rPr>
        <w:t>LogiMAT</w:t>
      </w:r>
      <w:proofErr w:type="spellEnd"/>
      <w:r w:rsidRPr="00511E91">
        <w:rPr>
          <w:lang w:val="en-US"/>
        </w:rPr>
        <w:t xml:space="preserve"> 2026. Visitors will gain an overview of the modular software solutions for operational logistics control. At Booth 4A71 in Hall 4, industry professionals can learn how the modules of the EPG ONE Suite can be integrated into existing system landscapes and which use cases have proven successful in practice. EPG will showcase concrete application examples and will be available for in-depth discussions on efficient, stable, and scalable supply chain execution solutions.</w:t>
      </w:r>
    </w:p>
    <w:p w14:paraId="60966C0F" w14:textId="77777777" w:rsidR="00D0492F" w:rsidRDefault="00D0492F" w:rsidP="004D0D98">
      <w:pPr>
        <w:spacing w:line="360" w:lineRule="auto"/>
        <w:jc w:val="center"/>
        <w:rPr>
          <w:b/>
          <w:bCs/>
          <w:lang w:val="en-US"/>
        </w:rPr>
      </w:pPr>
    </w:p>
    <w:p w14:paraId="2A0EB0C8" w14:textId="77777777" w:rsidR="00D0492F" w:rsidRDefault="00D0492F" w:rsidP="004D0D98">
      <w:pPr>
        <w:spacing w:line="360" w:lineRule="auto"/>
        <w:jc w:val="center"/>
        <w:rPr>
          <w:b/>
          <w:bCs/>
          <w:lang w:val="en-US"/>
        </w:rPr>
      </w:pPr>
    </w:p>
    <w:p w14:paraId="01583F10" w14:textId="77777777" w:rsidR="00D0492F" w:rsidRDefault="00D0492F" w:rsidP="004D0D98">
      <w:pPr>
        <w:spacing w:line="360" w:lineRule="auto"/>
        <w:jc w:val="center"/>
        <w:rPr>
          <w:b/>
          <w:bCs/>
          <w:lang w:val="en-US"/>
        </w:rPr>
      </w:pPr>
    </w:p>
    <w:p w14:paraId="6501FE70" w14:textId="77777777" w:rsidR="00D0492F" w:rsidRDefault="00D0492F" w:rsidP="004D0D98">
      <w:pPr>
        <w:spacing w:line="360" w:lineRule="auto"/>
        <w:jc w:val="center"/>
        <w:rPr>
          <w:b/>
          <w:bCs/>
          <w:lang w:val="en-US"/>
        </w:rPr>
      </w:pPr>
    </w:p>
    <w:p w14:paraId="294FC7D5" w14:textId="77777777" w:rsidR="00D0492F" w:rsidRDefault="00D0492F" w:rsidP="004D0D98">
      <w:pPr>
        <w:spacing w:line="360" w:lineRule="auto"/>
        <w:jc w:val="center"/>
        <w:rPr>
          <w:b/>
          <w:bCs/>
          <w:lang w:val="en-US"/>
        </w:rPr>
      </w:pPr>
    </w:p>
    <w:p w14:paraId="6A7070B1" w14:textId="77777777" w:rsidR="00D0492F" w:rsidRDefault="00D0492F" w:rsidP="004D0D98">
      <w:pPr>
        <w:spacing w:line="360" w:lineRule="auto"/>
        <w:jc w:val="center"/>
        <w:rPr>
          <w:b/>
          <w:bCs/>
          <w:lang w:val="en-US"/>
        </w:rPr>
      </w:pPr>
    </w:p>
    <w:p w14:paraId="781BE9C7" w14:textId="77777777" w:rsidR="00D0492F" w:rsidRDefault="00D0492F" w:rsidP="004D0D98">
      <w:pPr>
        <w:spacing w:line="360" w:lineRule="auto"/>
        <w:jc w:val="center"/>
        <w:rPr>
          <w:b/>
          <w:bCs/>
          <w:lang w:val="en-US"/>
        </w:rPr>
      </w:pPr>
    </w:p>
    <w:p w14:paraId="1461998B" w14:textId="77777777" w:rsidR="00D0492F" w:rsidRDefault="00D0492F" w:rsidP="004D0D98">
      <w:pPr>
        <w:spacing w:line="360" w:lineRule="auto"/>
        <w:jc w:val="center"/>
        <w:rPr>
          <w:b/>
          <w:bCs/>
          <w:lang w:val="en-US"/>
        </w:rPr>
      </w:pPr>
    </w:p>
    <w:p w14:paraId="2636EBAC" w14:textId="77777777" w:rsidR="00D0492F" w:rsidRDefault="00D0492F" w:rsidP="004D0D98">
      <w:pPr>
        <w:spacing w:line="360" w:lineRule="auto"/>
        <w:jc w:val="center"/>
        <w:rPr>
          <w:b/>
          <w:bCs/>
          <w:lang w:val="en-US"/>
        </w:rPr>
      </w:pPr>
    </w:p>
    <w:p w14:paraId="15342831" w14:textId="77777777" w:rsidR="00D0492F" w:rsidRDefault="00D0492F" w:rsidP="004D0D98">
      <w:pPr>
        <w:spacing w:line="360" w:lineRule="auto"/>
        <w:jc w:val="center"/>
        <w:rPr>
          <w:b/>
          <w:bCs/>
          <w:lang w:val="en-US"/>
        </w:rPr>
      </w:pPr>
    </w:p>
    <w:p w14:paraId="693AEAF2" w14:textId="77777777" w:rsidR="00D0492F" w:rsidRDefault="00D0492F" w:rsidP="004D0D98">
      <w:pPr>
        <w:spacing w:line="360" w:lineRule="auto"/>
        <w:jc w:val="center"/>
        <w:rPr>
          <w:b/>
          <w:bCs/>
          <w:lang w:val="en-US"/>
        </w:rPr>
      </w:pPr>
    </w:p>
    <w:p w14:paraId="002F7D48" w14:textId="77777777" w:rsidR="00D0492F" w:rsidRDefault="00D0492F" w:rsidP="004D0D98">
      <w:pPr>
        <w:spacing w:line="360" w:lineRule="auto"/>
        <w:jc w:val="center"/>
        <w:rPr>
          <w:b/>
          <w:bCs/>
          <w:lang w:val="en-US"/>
        </w:rPr>
      </w:pPr>
    </w:p>
    <w:p w14:paraId="664F2C37" w14:textId="77777777" w:rsidR="00D0492F" w:rsidRDefault="00D0492F" w:rsidP="004D0D98">
      <w:pPr>
        <w:spacing w:line="360" w:lineRule="auto"/>
        <w:jc w:val="center"/>
        <w:rPr>
          <w:b/>
          <w:bCs/>
          <w:lang w:val="en-US"/>
        </w:rPr>
      </w:pPr>
    </w:p>
    <w:p w14:paraId="2F696B03" w14:textId="77777777" w:rsidR="00D0492F" w:rsidRDefault="00D0492F" w:rsidP="004D0D98">
      <w:pPr>
        <w:spacing w:line="360" w:lineRule="auto"/>
        <w:jc w:val="center"/>
        <w:rPr>
          <w:b/>
          <w:bCs/>
          <w:lang w:val="en-US"/>
        </w:rPr>
      </w:pPr>
    </w:p>
    <w:p w14:paraId="4B561807" w14:textId="77777777" w:rsidR="00D0492F" w:rsidRDefault="00D0492F" w:rsidP="004D0D98">
      <w:pPr>
        <w:spacing w:line="360" w:lineRule="auto"/>
        <w:jc w:val="center"/>
        <w:rPr>
          <w:b/>
          <w:bCs/>
          <w:lang w:val="en-US"/>
        </w:rPr>
      </w:pPr>
    </w:p>
    <w:p w14:paraId="1FFE4BDC" w14:textId="77777777" w:rsidR="00D0492F" w:rsidRDefault="00D0492F" w:rsidP="004D0D98">
      <w:pPr>
        <w:spacing w:line="360" w:lineRule="auto"/>
        <w:jc w:val="center"/>
        <w:rPr>
          <w:b/>
          <w:bCs/>
          <w:lang w:val="en-US"/>
        </w:rPr>
      </w:pPr>
    </w:p>
    <w:p w14:paraId="14594E81" w14:textId="77777777" w:rsidR="00D0492F" w:rsidRDefault="00D0492F" w:rsidP="004D0D98">
      <w:pPr>
        <w:spacing w:line="360" w:lineRule="auto"/>
        <w:jc w:val="center"/>
        <w:rPr>
          <w:b/>
          <w:bCs/>
          <w:lang w:val="en-US"/>
        </w:rPr>
      </w:pPr>
    </w:p>
    <w:p w14:paraId="529DF5E5" w14:textId="77777777" w:rsidR="00D0492F" w:rsidRDefault="00D0492F" w:rsidP="004D0D98">
      <w:pPr>
        <w:spacing w:line="360" w:lineRule="auto"/>
        <w:jc w:val="center"/>
        <w:rPr>
          <w:b/>
          <w:bCs/>
          <w:lang w:val="en-US"/>
        </w:rPr>
      </w:pPr>
    </w:p>
    <w:p w14:paraId="458C9D25" w14:textId="77777777" w:rsidR="00D0492F" w:rsidRDefault="00D0492F" w:rsidP="004D0D98">
      <w:pPr>
        <w:spacing w:line="360" w:lineRule="auto"/>
        <w:jc w:val="center"/>
        <w:rPr>
          <w:b/>
          <w:bCs/>
          <w:lang w:val="en-US"/>
        </w:rPr>
      </w:pPr>
    </w:p>
    <w:p w14:paraId="191AE344" w14:textId="77777777" w:rsidR="00511E91" w:rsidRDefault="00511E91" w:rsidP="006865B9"/>
    <w:p w14:paraId="74A447C2" w14:textId="2D1DE29D" w:rsidR="005E7CBF" w:rsidRPr="00DA684A" w:rsidRDefault="005E7CBF" w:rsidP="006865B9">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D558EC">
        <w:rPr>
          <w:sz w:val="20"/>
          <w:szCs w:val="20"/>
          <w:lang w:val="en-US"/>
        </w:rPr>
        <w:t>18</w:t>
      </w:r>
      <w:r w:rsidR="008D5787">
        <w:rPr>
          <w:sz w:val="20"/>
          <w:szCs w:val="20"/>
          <w:lang w:val="en-US"/>
        </w:rPr>
        <w:t>.0</w:t>
      </w:r>
      <w:r w:rsidR="00D558EC">
        <w:rPr>
          <w:sz w:val="20"/>
          <w:szCs w:val="20"/>
          <w:lang w:val="en-US"/>
        </w:rPr>
        <w:t>2</w:t>
      </w:r>
      <w:r w:rsidR="008D5787">
        <w:rPr>
          <w:sz w:val="20"/>
          <w:szCs w:val="20"/>
          <w:lang w:val="en-US"/>
        </w:rPr>
        <w:t>.202</w:t>
      </w:r>
      <w:r w:rsidR="00FA388B">
        <w:rPr>
          <w:sz w:val="20"/>
          <w:szCs w:val="20"/>
          <w:lang w:val="en-US"/>
        </w:rPr>
        <w:t>6</w:t>
      </w:r>
    </w:p>
    <w:p w14:paraId="5D61D2AA" w14:textId="760295A3" w:rsidR="005E7CBF" w:rsidRPr="00DA684A" w:rsidRDefault="42017B52" w:rsidP="006865B9">
      <w:pPr>
        <w:rPr>
          <w:sz w:val="20"/>
          <w:szCs w:val="20"/>
          <w:lang w:val="en-US"/>
        </w:rPr>
      </w:pPr>
      <w:r w:rsidRPr="2FF614BA">
        <w:rPr>
          <w:b/>
          <w:bCs/>
          <w:sz w:val="20"/>
          <w:szCs w:val="20"/>
          <w:lang w:val="en-US"/>
        </w:rPr>
        <w:t>Characters:</w:t>
      </w:r>
      <w:r w:rsidRPr="2FF614BA">
        <w:rPr>
          <w:sz w:val="20"/>
          <w:szCs w:val="20"/>
          <w:lang w:val="en-US"/>
        </w:rPr>
        <w:t xml:space="preserve"> </w:t>
      </w:r>
      <w:r w:rsidR="40324655" w:rsidRPr="2FF614BA">
        <w:rPr>
          <w:sz w:val="20"/>
          <w:szCs w:val="20"/>
          <w:lang w:val="en-US"/>
        </w:rPr>
        <w:t xml:space="preserve">  </w:t>
      </w:r>
      <w:r w:rsidR="53930BE3" w:rsidRPr="2FF614BA">
        <w:rPr>
          <w:sz w:val="20"/>
          <w:szCs w:val="20"/>
          <w:lang w:val="en-US"/>
        </w:rPr>
        <w:t xml:space="preserve">  </w:t>
      </w:r>
      <w:r w:rsidR="00D558EC">
        <w:rPr>
          <w:sz w:val="20"/>
          <w:szCs w:val="20"/>
          <w:lang w:val="en-US"/>
        </w:rPr>
        <w:t>6</w:t>
      </w:r>
      <w:r w:rsidR="00511E91">
        <w:rPr>
          <w:sz w:val="20"/>
          <w:szCs w:val="20"/>
          <w:lang w:val="en-US"/>
        </w:rPr>
        <w:t>.</w:t>
      </w:r>
      <w:r w:rsidR="00D558EC">
        <w:rPr>
          <w:sz w:val="20"/>
          <w:szCs w:val="20"/>
          <w:lang w:val="en-US"/>
        </w:rPr>
        <w:t>020</w:t>
      </w:r>
      <w:r w:rsidR="00511E91">
        <w:rPr>
          <w:sz w:val="20"/>
          <w:szCs w:val="20"/>
          <w:lang w:val="en-US"/>
        </w:rPr>
        <w:t xml:space="preserve"> </w:t>
      </w:r>
      <w:r w:rsidRPr="2FF614BA">
        <w:rPr>
          <w:sz w:val="20"/>
          <w:szCs w:val="20"/>
          <w:lang w:val="en-US"/>
        </w:rPr>
        <w:t>Characters including spaces</w:t>
      </w:r>
    </w:p>
    <w:p w14:paraId="5C4DB053" w14:textId="785A5084"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D558EC">
        <w:rPr>
          <w:sz w:val="20"/>
          <w:szCs w:val="20"/>
          <w:lang w:val="en-US"/>
        </w:rPr>
        <w:t>3</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416C96" w:rsidRDefault="005E7CBF" w:rsidP="006865B9">
      <w:pPr>
        <w:spacing w:line="360" w:lineRule="auto"/>
        <w:rPr>
          <w:kern w:val="24"/>
          <w:sz w:val="20"/>
          <w:szCs w:val="20"/>
          <w:lang w:val="de-DE"/>
        </w:rPr>
      </w:pPr>
      <w:r w:rsidRPr="00416C96">
        <w:rPr>
          <w:kern w:val="24"/>
          <w:sz w:val="20"/>
          <w:szCs w:val="20"/>
          <w:lang w:val="de-DE"/>
        </w:rPr>
        <w:t>Tel.: (+49) 67 42-87 27 0 • Fax: (+49) 67 42-87 27 50</w:t>
      </w:r>
    </w:p>
    <w:p w14:paraId="05F5BC9D" w14:textId="77777777" w:rsidR="005E7CBF" w:rsidRPr="00DA684A" w:rsidRDefault="005E7CBF" w:rsidP="006865B9">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3A69D9" w:rsidRDefault="005E7CBF" w:rsidP="006865B9">
      <w:pPr>
        <w:spacing w:line="360" w:lineRule="auto"/>
        <w:rPr>
          <w:kern w:val="24"/>
          <w:sz w:val="20"/>
          <w:szCs w:val="20"/>
          <w:lang w:val="de-DE"/>
        </w:rPr>
      </w:pPr>
      <w:r w:rsidRPr="003A69D9">
        <w:rPr>
          <w:kern w:val="24"/>
          <w:sz w:val="20"/>
          <w:szCs w:val="20"/>
          <w:lang w:val="de-DE"/>
        </w:rPr>
        <w:t>Thor Riemschneider • BFOUND GmbH</w:t>
      </w:r>
    </w:p>
    <w:p w14:paraId="6D932F41" w14:textId="77777777" w:rsidR="005E7CBF" w:rsidRPr="003A69D9" w:rsidRDefault="005E7CBF" w:rsidP="006865B9">
      <w:pPr>
        <w:spacing w:line="360" w:lineRule="auto"/>
        <w:rPr>
          <w:kern w:val="24"/>
          <w:sz w:val="20"/>
          <w:szCs w:val="20"/>
          <w:lang w:val="de-DE"/>
        </w:rPr>
      </w:pPr>
      <w:r w:rsidRPr="003A69D9">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DEAB" w14:textId="77777777" w:rsidR="00194AE8" w:rsidRDefault="00194AE8" w:rsidP="008205FF">
      <w:r>
        <w:separator/>
      </w:r>
    </w:p>
  </w:endnote>
  <w:endnote w:type="continuationSeparator" w:id="0">
    <w:p w14:paraId="7C8E5799" w14:textId="77777777" w:rsidR="00194AE8" w:rsidRDefault="00194AE8" w:rsidP="008205FF">
      <w:r>
        <w:continuationSeparator/>
      </w:r>
    </w:p>
  </w:endnote>
  <w:endnote w:type="continuationNotice" w:id="1">
    <w:p w14:paraId="152192D7" w14:textId="77777777" w:rsidR="00194AE8" w:rsidRDefault="00194AE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F606" w14:textId="77777777" w:rsidR="00194AE8" w:rsidRDefault="00194AE8" w:rsidP="008205FF">
      <w:r>
        <w:separator/>
      </w:r>
    </w:p>
  </w:footnote>
  <w:footnote w:type="continuationSeparator" w:id="0">
    <w:p w14:paraId="0638F1FD" w14:textId="77777777" w:rsidR="00194AE8" w:rsidRDefault="00194AE8" w:rsidP="008205FF">
      <w:r>
        <w:continuationSeparator/>
      </w:r>
    </w:p>
  </w:footnote>
  <w:footnote w:type="continuationNotice" w:id="1">
    <w:p w14:paraId="3D99B0AD" w14:textId="77777777" w:rsidR="00194AE8" w:rsidRDefault="00194AE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7BF6"/>
    <w:rsid w:val="000A1801"/>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4AE8"/>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95E"/>
    <w:rsid w:val="003204CE"/>
    <w:rsid w:val="00320581"/>
    <w:rsid w:val="00320A1A"/>
    <w:rsid w:val="00321DFF"/>
    <w:rsid w:val="0032210B"/>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1623"/>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5E59"/>
    <w:rsid w:val="00370502"/>
    <w:rsid w:val="00371EEF"/>
    <w:rsid w:val="003726D2"/>
    <w:rsid w:val="00372F17"/>
    <w:rsid w:val="00373839"/>
    <w:rsid w:val="003744FC"/>
    <w:rsid w:val="00375CB7"/>
    <w:rsid w:val="003760D2"/>
    <w:rsid w:val="00376203"/>
    <w:rsid w:val="00376EB3"/>
    <w:rsid w:val="00377D1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A69D9"/>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16C96"/>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D98"/>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ADA"/>
    <w:rsid w:val="004F5C53"/>
    <w:rsid w:val="004F704D"/>
    <w:rsid w:val="005000EF"/>
    <w:rsid w:val="0050014C"/>
    <w:rsid w:val="00501C8B"/>
    <w:rsid w:val="0050271B"/>
    <w:rsid w:val="00502863"/>
    <w:rsid w:val="005029AB"/>
    <w:rsid w:val="00506CB8"/>
    <w:rsid w:val="00511E91"/>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047"/>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2970"/>
    <w:rsid w:val="006D2B9D"/>
    <w:rsid w:val="006E075D"/>
    <w:rsid w:val="006E10DB"/>
    <w:rsid w:val="006E122B"/>
    <w:rsid w:val="006E320F"/>
    <w:rsid w:val="006E5BD3"/>
    <w:rsid w:val="006F0A88"/>
    <w:rsid w:val="006F27F6"/>
    <w:rsid w:val="006F31F8"/>
    <w:rsid w:val="006F363F"/>
    <w:rsid w:val="006F41C6"/>
    <w:rsid w:val="007025F7"/>
    <w:rsid w:val="00702A17"/>
    <w:rsid w:val="00703320"/>
    <w:rsid w:val="007041A3"/>
    <w:rsid w:val="007042BD"/>
    <w:rsid w:val="00704A5C"/>
    <w:rsid w:val="00707113"/>
    <w:rsid w:val="00711E3E"/>
    <w:rsid w:val="0071372C"/>
    <w:rsid w:val="00713988"/>
    <w:rsid w:val="007139FA"/>
    <w:rsid w:val="00714FC2"/>
    <w:rsid w:val="0071582E"/>
    <w:rsid w:val="00715D03"/>
    <w:rsid w:val="0071673A"/>
    <w:rsid w:val="00716BAD"/>
    <w:rsid w:val="00721CB0"/>
    <w:rsid w:val="00722C0F"/>
    <w:rsid w:val="0072560F"/>
    <w:rsid w:val="00726365"/>
    <w:rsid w:val="007275E0"/>
    <w:rsid w:val="00727E7F"/>
    <w:rsid w:val="00734BCB"/>
    <w:rsid w:val="0073529F"/>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A05"/>
    <w:rsid w:val="007B4C91"/>
    <w:rsid w:val="007B61C1"/>
    <w:rsid w:val="007C0ED5"/>
    <w:rsid w:val="007C0FCE"/>
    <w:rsid w:val="007C1279"/>
    <w:rsid w:val="007C1503"/>
    <w:rsid w:val="007C287B"/>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0B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5ED"/>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8DB"/>
    <w:rsid w:val="00B85640"/>
    <w:rsid w:val="00B85A6D"/>
    <w:rsid w:val="00B86C48"/>
    <w:rsid w:val="00B87693"/>
    <w:rsid w:val="00B91C17"/>
    <w:rsid w:val="00B91C4C"/>
    <w:rsid w:val="00B93E90"/>
    <w:rsid w:val="00B9466B"/>
    <w:rsid w:val="00B964B9"/>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4687E"/>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29C4"/>
    <w:rsid w:val="00C94610"/>
    <w:rsid w:val="00C9547D"/>
    <w:rsid w:val="00C95777"/>
    <w:rsid w:val="00C97691"/>
    <w:rsid w:val="00C9799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92F"/>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58EC"/>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3F6B"/>
    <w:rsid w:val="00E74631"/>
    <w:rsid w:val="00E752EA"/>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06F"/>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52E1"/>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D673B"/>
    <w:rsid w:val="00FE42A5"/>
    <w:rsid w:val="00FE42CD"/>
    <w:rsid w:val="00FE51D8"/>
    <w:rsid w:val="00FE610E"/>
    <w:rsid w:val="00FE7A70"/>
    <w:rsid w:val="00FF198A"/>
    <w:rsid w:val="00FF1C84"/>
    <w:rsid w:val="00FF1DFF"/>
    <w:rsid w:val="00FF2512"/>
    <w:rsid w:val="00FF450A"/>
    <w:rsid w:val="00FF47DC"/>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4F341DF0-A8A3-4E3B-852E-BD99A084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1082</Words>
  <Characters>6174</Characters>
  <Application>Microsoft Office Word</Application>
  <DocSecurity>4</DocSecurity>
  <Lines>51</Lines>
  <Paragraphs>14</Paragraphs>
  <ScaleCrop>false</ScaleCrop>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247</cp:revision>
  <cp:lastPrinted>2025-04-02T03:24:00Z</cp:lastPrinted>
  <dcterms:created xsi:type="dcterms:W3CDTF">2025-05-22T10:20:00Z</dcterms:created>
  <dcterms:modified xsi:type="dcterms:W3CDTF">2026-02-18T10:55:00Z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